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520" w:rsidRPr="00724520" w:rsidRDefault="00724520" w:rsidP="009317F5">
      <w:pPr>
        <w:jc w:val="both"/>
        <w:rPr>
          <w:b/>
        </w:rPr>
      </w:pPr>
      <w:r w:rsidRPr="00724520">
        <w:rPr>
          <w:b/>
        </w:rPr>
        <w:t>ΣΧΟΛΙΑ ΓΙΑ ΣΧΕΔΙΟ ΑΝΑΚΟΙΝΩΣΗΣ ΠΛΑΙΣΙΟ ΕΑΚ</w:t>
      </w:r>
      <w:r w:rsidR="001D4069">
        <w:rPr>
          <w:b/>
        </w:rPr>
        <w:t xml:space="preserve"> - ΕΥΚΕ</w:t>
      </w:r>
    </w:p>
    <w:p w:rsidR="00FD3541" w:rsidRDefault="000D3C9E" w:rsidP="009317F5">
      <w:pPr>
        <w:pStyle w:val="a3"/>
        <w:numPr>
          <w:ilvl w:val="0"/>
          <w:numId w:val="2"/>
        </w:numPr>
        <w:jc w:val="both"/>
      </w:pPr>
      <w:r w:rsidRPr="000D3C9E">
        <w:t>Σημείο 14.δ. : Κρίνεται απαραίτητη η παροχή διευκρινίσεων αναφορικά με τη διαφοροποίηση σε σχ</w:t>
      </w:r>
      <w:r w:rsidR="00E7653E">
        <w:t xml:space="preserve">έση με τις ερευνητικές υποδομές καθώς και τα δύο μπορούν να χρησιμοποιηθούν και χρησιμοποιούνται από τους Ερευνητικούς Οργανισμούς. </w:t>
      </w:r>
    </w:p>
    <w:p w:rsidR="001D4069" w:rsidRPr="000D3C9E" w:rsidRDefault="001D4069" w:rsidP="001D4069">
      <w:pPr>
        <w:pStyle w:val="a3"/>
        <w:jc w:val="both"/>
      </w:pPr>
    </w:p>
    <w:p w:rsidR="00E7653E" w:rsidRDefault="000D3C9E" w:rsidP="009317F5">
      <w:pPr>
        <w:pStyle w:val="a3"/>
        <w:numPr>
          <w:ilvl w:val="0"/>
          <w:numId w:val="2"/>
        </w:numPr>
        <w:jc w:val="both"/>
      </w:pPr>
      <w:r w:rsidRPr="000D3C9E">
        <w:t xml:space="preserve">Σημείο 14.στ.: Στις ενισχύσεις για τα συμπλέγματα καινοτομίας </w:t>
      </w:r>
      <w:r w:rsidR="00DB034E" w:rsidRPr="00DB034E">
        <w:t xml:space="preserve">κρίνεται </w:t>
      </w:r>
      <w:r w:rsidRPr="000D3C9E">
        <w:t>θετική η προσθήκη τ</w:t>
      </w:r>
      <w:r w:rsidR="00DB034E" w:rsidRPr="00DB034E">
        <w:t xml:space="preserve">ων </w:t>
      </w:r>
      <w:r w:rsidRPr="000D3C9E">
        <w:t>διευκρινίσε</w:t>
      </w:r>
      <w:r w:rsidR="00DB034E" w:rsidRPr="00DB034E">
        <w:t>ων</w:t>
      </w:r>
      <w:r w:rsidRPr="000D3C9E">
        <w:t xml:space="preserve"> γ</w:t>
      </w:r>
      <w:r>
        <w:t>ια τις χρε</w:t>
      </w:r>
      <w:r w:rsidRPr="000D3C9E">
        <w:t xml:space="preserve">ώσεις και τους χρήστες. </w:t>
      </w:r>
      <w:r w:rsidR="00F72A9E" w:rsidRPr="00F72A9E">
        <w:t xml:space="preserve">Κρίνεται σκόπιμο να διευκρινιστεί </w:t>
      </w:r>
      <w:r w:rsidR="00E7653E">
        <w:t>:</w:t>
      </w:r>
    </w:p>
    <w:p w:rsidR="00E7653E" w:rsidRDefault="00843A51" w:rsidP="00E7653E">
      <w:pPr>
        <w:pStyle w:val="a3"/>
        <w:numPr>
          <w:ilvl w:val="1"/>
          <w:numId w:val="2"/>
        </w:numPr>
        <w:jc w:val="both"/>
      </w:pPr>
      <w:r w:rsidRPr="00843A51">
        <w:t>τ</w:t>
      </w:r>
      <w:r w:rsidR="00E7653E">
        <w:t xml:space="preserve">ι σημαίνει στον ορισμό η </w:t>
      </w:r>
      <w:r w:rsidR="00F72A9E" w:rsidRPr="00F72A9E">
        <w:t>έννοια των ανοιχτών υποδομών</w:t>
      </w:r>
      <w:r w:rsidR="00E7653E">
        <w:t xml:space="preserve"> (</w:t>
      </w:r>
      <w:r w:rsidR="00E7653E">
        <w:rPr>
          <w:lang w:val="en-US"/>
        </w:rPr>
        <w:t>open</w:t>
      </w:r>
      <w:r w:rsidR="00E7653E" w:rsidRPr="00E7653E">
        <w:t xml:space="preserve"> </w:t>
      </w:r>
      <w:r w:rsidR="00E7653E">
        <w:rPr>
          <w:lang w:val="en-US"/>
        </w:rPr>
        <w:t>space</w:t>
      </w:r>
      <w:r w:rsidR="00E7653E" w:rsidRPr="00E7653E">
        <w:t>)</w:t>
      </w:r>
      <w:r w:rsidR="00DB034E" w:rsidRPr="00DB034E">
        <w:t>,</w:t>
      </w:r>
    </w:p>
    <w:p w:rsidR="00531423" w:rsidRDefault="00F72A9E" w:rsidP="00E7653E">
      <w:pPr>
        <w:pStyle w:val="a3"/>
        <w:numPr>
          <w:ilvl w:val="1"/>
          <w:numId w:val="2"/>
        </w:numPr>
        <w:jc w:val="both"/>
      </w:pPr>
      <w:r w:rsidRPr="00F72A9E">
        <w:t xml:space="preserve"> </w:t>
      </w:r>
      <w:r w:rsidR="00843A51" w:rsidRPr="00843A51">
        <w:t>α</w:t>
      </w:r>
      <w:r w:rsidR="00E7653E">
        <w:t>ν στα συμπλέγματα καινοτομίας είναι απαραίτητη η κοινή</w:t>
      </w:r>
      <w:r w:rsidRPr="00F72A9E">
        <w:t xml:space="preserve"> χρήση των υποδομών</w:t>
      </w:r>
      <w:r w:rsidR="00E7653E">
        <w:t xml:space="preserve"> του συμπλέγματος</w:t>
      </w:r>
      <w:r w:rsidRPr="00F72A9E">
        <w:t>.</w:t>
      </w:r>
    </w:p>
    <w:p w:rsidR="001D4069" w:rsidRPr="00531423" w:rsidRDefault="001D4069" w:rsidP="001D4069">
      <w:pPr>
        <w:pStyle w:val="a3"/>
        <w:ind w:left="1440"/>
        <w:jc w:val="both"/>
      </w:pPr>
    </w:p>
    <w:p w:rsidR="00E7653E" w:rsidRDefault="00F72A9E" w:rsidP="009317F5">
      <w:pPr>
        <w:pStyle w:val="a3"/>
        <w:numPr>
          <w:ilvl w:val="0"/>
          <w:numId w:val="2"/>
        </w:numPr>
        <w:jc w:val="both"/>
      </w:pPr>
      <w:r w:rsidRPr="00F72A9E">
        <w:t xml:space="preserve">Θετική η πρόνοια στον χρονικό περιορισμό για τον έλεγχο της οικονομικής χρήσης των επικουρικών δραστηριοτήτων σε 10 έτη. </w:t>
      </w:r>
    </w:p>
    <w:p w:rsidR="00531423" w:rsidRPr="00E7653E" w:rsidRDefault="00F72A9E" w:rsidP="00E7653E">
      <w:pPr>
        <w:pStyle w:val="a3"/>
        <w:numPr>
          <w:ilvl w:val="1"/>
          <w:numId w:val="2"/>
        </w:numPr>
        <w:jc w:val="both"/>
        <w:rPr>
          <w:i/>
        </w:rPr>
      </w:pPr>
      <w:r w:rsidRPr="00F72A9E">
        <w:t>Επειδή η υποδομή με επικουρική χρήση μπορεί να αφορά σε εξοπλισμό που αποσβαίνει σε χρόνο πολύ μικρ</w:t>
      </w:r>
      <w:r>
        <w:t>ότερο από 10 έτη</w:t>
      </w:r>
      <w:r w:rsidRPr="00F72A9E">
        <w:t xml:space="preserve"> </w:t>
      </w:r>
      <w:r>
        <w:t>προτείνεται</w:t>
      </w:r>
      <w:r w:rsidRPr="00F72A9E">
        <w:t xml:space="preserve"> να υπάρχει εναλλακτικά η δυνατότητα ελέγχου στο χρόνο απόσβεσης της υποδομής. Στην πε</w:t>
      </w:r>
      <w:r w:rsidRPr="00531423">
        <w:t>ρίπτωση</w:t>
      </w:r>
      <w:r w:rsidR="00843A51">
        <w:t xml:space="preserve"> αυτή</w:t>
      </w:r>
      <w:r>
        <w:t xml:space="preserve"> </w:t>
      </w:r>
      <w:r w:rsidRPr="00F72A9E">
        <w:t xml:space="preserve">η τελευταία πρόταση του σημείου 22 </w:t>
      </w:r>
      <w:r w:rsidR="00843A51">
        <w:t xml:space="preserve">διαμορφώνεται ως </w:t>
      </w:r>
      <w:r w:rsidR="00843A51" w:rsidRPr="00843A51">
        <w:t>εξής</w:t>
      </w:r>
      <w:r w:rsidRPr="00531423">
        <w:t xml:space="preserve">: </w:t>
      </w:r>
      <w:r w:rsidR="00E7653E">
        <w:t>«</w:t>
      </w:r>
      <w:r w:rsidR="00531423" w:rsidRPr="00E7653E">
        <w:rPr>
          <w:i/>
        </w:rPr>
        <w:t xml:space="preserve">Η παρακολούθηση του επικουρικού χαρακτήρα της οικονομικής δραστηριότητας εκτείνεται σε περίοδο τουλάχιστον 10 ετών από την έναρξη λειτουργίας του ερευνητικού οργανισμού ή της ερευνητικής υποδομής </w:t>
      </w:r>
      <w:r w:rsidR="00531423" w:rsidRPr="00E7653E">
        <w:rPr>
          <w:b/>
          <w:i/>
          <w:color w:val="FF0000"/>
          <w:u w:val="single"/>
        </w:rPr>
        <w:t>ή την περίοδο απόσβεσης της υποδομής,</w:t>
      </w:r>
      <w:r w:rsidR="00E7653E" w:rsidRPr="00E7653E">
        <w:rPr>
          <w:b/>
          <w:i/>
          <w:color w:val="FF0000"/>
          <w:u w:val="single"/>
        </w:rPr>
        <w:t xml:space="preserve"> </w:t>
      </w:r>
      <w:r w:rsidR="00531423" w:rsidRPr="00E7653E">
        <w:rPr>
          <w:b/>
          <w:i/>
          <w:color w:val="FF0000"/>
          <w:u w:val="single"/>
        </w:rPr>
        <w:t>όποιο από τα δύο  χρονικά διαστήματα είναι βραχύτερο.</w:t>
      </w:r>
      <w:r w:rsidR="00531423" w:rsidRPr="00E7653E">
        <w:rPr>
          <w:i/>
        </w:rPr>
        <w:t xml:space="preserve"> Σε περίπτωση που η ερευνητική υποδομή ή </w:t>
      </w:r>
      <w:r w:rsidR="00531423" w:rsidRPr="00E6467A">
        <w:rPr>
          <w:i/>
        </w:rPr>
        <w:t>ο ερευνητικός οργανισμός</w:t>
      </w:r>
      <w:r w:rsidR="00531423" w:rsidRPr="00E7653E">
        <w:rPr>
          <w:i/>
        </w:rPr>
        <w:t xml:space="preserve"> αυξήσει την οικονομική του δραστηριότητα έτσι ώστε να μην μπορεί να θεωρηθεί επικουρική, η δημόσια χρηματοδότηση ολόκληρης της οικονομικής δραστηριότητας θα εμπίπτει στους κανόνες περί κρατικών ενισχύσεων.</w:t>
      </w:r>
      <w:r w:rsidR="00E7653E">
        <w:rPr>
          <w:i/>
        </w:rPr>
        <w:t>»</w:t>
      </w:r>
    </w:p>
    <w:p w:rsidR="00E7653E" w:rsidRDefault="00E7653E" w:rsidP="00E7653E">
      <w:pPr>
        <w:pStyle w:val="a3"/>
        <w:numPr>
          <w:ilvl w:val="1"/>
          <w:numId w:val="2"/>
        </w:numPr>
        <w:jc w:val="both"/>
      </w:pPr>
      <w:r w:rsidRPr="00E7653E">
        <w:t xml:space="preserve">Επίσης στο σημείο 22 να προσδιοριστεί με σαφήνεια η χρονική στιγμή </w:t>
      </w:r>
      <w:r>
        <w:t>από την οποία μετράνε τα 10 έτη, τη στιγμή χορήγησης της ενίσχυσης, την στιγμή ολοκλήρωσης της υποδομής (σε περίπτωση υποδομής), κ.α. Η αναφορά «</w:t>
      </w:r>
      <w:r w:rsidRPr="00E7653E">
        <w:rPr>
          <w:i/>
        </w:rPr>
        <w:t xml:space="preserve">έναρξη λειτουργίας του ερευνητικού οργανισμού ή της </w:t>
      </w:r>
      <w:r w:rsidRPr="00E7653E">
        <w:rPr>
          <w:i/>
        </w:rPr>
        <w:lastRenderedPageBreak/>
        <w:t>ερευνητικής υποδομή</w:t>
      </w:r>
      <w:r w:rsidRPr="00E7653E">
        <w:t>ς</w:t>
      </w:r>
      <w:r>
        <w:t xml:space="preserve">» δεν είναι σαφής ειδικά στις περιπτώσεις που έχουμε ερευνητικό οργανισμό ήδη λειτουργούντα και η ενίσχυση αφορά σε απόκτηση μέρους του εξοπλισμού του. </w:t>
      </w:r>
    </w:p>
    <w:p w:rsidR="00E7653E" w:rsidRDefault="00E6467A" w:rsidP="00E7653E">
      <w:pPr>
        <w:pStyle w:val="a3"/>
        <w:numPr>
          <w:ilvl w:val="1"/>
          <w:numId w:val="2"/>
        </w:numPr>
        <w:jc w:val="both"/>
      </w:pPr>
      <w:r w:rsidRPr="00E6467A">
        <w:t>Κρίνεται σκόπιμο ν</w:t>
      </w:r>
      <w:r w:rsidR="00E37FC1">
        <w:t>α ληφθεί υπόψη η π</w:t>
      </w:r>
      <w:r w:rsidR="00E7653E" w:rsidRPr="00E7653E">
        <w:t xml:space="preserve">ερίπτωση εργαστηρίων </w:t>
      </w:r>
      <w:r w:rsidR="00E37FC1">
        <w:t xml:space="preserve">που χρησιμοποιούνται </w:t>
      </w:r>
      <w:r w:rsidR="00E7653E" w:rsidRPr="00E7653E">
        <w:t xml:space="preserve">από διαφορετικούς ερευνητικούς φορείς, που σχηματίζουν κοινή υποδομή, παρέχοντας ένα σύνολο συνεκτικών υπηρεσιών, </w:t>
      </w:r>
      <w:r w:rsidR="00E37FC1">
        <w:t xml:space="preserve">και να προσδιοριστεί στην περίπτωση αυτή </w:t>
      </w:r>
      <w:r w:rsidR="001D4069">
        <w:t xml:space="preserve">η μεθοδολογία υπολογισμού του </w:t>
      </w:r>
      <w:r w:rsidR="00E7653E" w:rsidRPr="00E7653E">
        <w:t>ποσοστ</w:t>
      </w:r>
      <w:r w:rsidR="001D4069">
        <w:t>ού</w:t>
      </w:r>
      <w:r w:rsidR="00E7653E" w:rsidRPr="00E7653E">
        <w:t xml:space="preserve"> των βοηθητικών δραστηριοτήτων</w:t>
      </w:r>
      <w:r w:rsidR="001D4069">
        <w:t xml:space="preserve">, π.χ. αναλογικά με το χρόνο χρήσης του εργαστηρίου ανά Ερευνητικό Οργανισμό ή το χρόνο ανθρωποαπασχόλησης στο συγκεκριμένο εργαστήριο ανά Ερευνητικό Οργανισμό. </w:t>
      </w:r>
    </w:p>
    <w:p w:rsidR="001D4069" w:rsidRPr="00E7653E" w:rsidRDefault="001D4069" w:rsidP="001D4069">
      <w:pPr>
        <w:pStyle w:val="a3"/>
        <w:ind w:left="1440"/>
        <w:jc w:val="both"/>
      </w:pPr>
    </w:p>
    <w:p w:rsidR="001D4069" w:rsidRDefault="00531423" w:rsidP="001D4069">
      <w:pPr>
        <w:pStyle w:val="a3"/>
        <w:numPr>
          <w:ilvl w:val="0"/>
          <w:numId w:val="2"/>
        </w:numPr>
        <w:jc w:val="both"/>
        <w:rPr>
          <w:i/>
        </w:rPr>
      </w:pPr>
      <w:r w:rsidRPr="00531423">
        <w:rPr>
          <w:i/>
        </w:rPr>
        <w:t>Στο σημείο 25 να επιβεβαιωθεί ότι τα σημεία α και β πρέπει να ισχύουν σωρευτικά.</w:t>
      </w:r>
    </w:p>
    <w:p w:rsidR="001D4069" w:rsidRPr="001D4069" w:rsidRDefault="001D4069" w:rsidP="001D4069">
      <w:pPr>
        <w:pStyle w:val="a3"/>
        <w:jc w:val="both"/>
        <w:rPr>
          <w:i/>
        </w:rPr>
      </w:pPr>
    </w:p>
    <w:p w:rsidR="00531423" w:rsidRDefault="00531423" w:rsidP="001D4069">
      <w:pPr>
        <w:pStyle w:val="a3"/>
        <w:numPr>
          <w:ilvl w:val="0"/>
          <w:numId w:val="2"/>
        </w:numPr>
        <w:jc w:val="both"/>
        <w:rPr>
          <w:i/>
        </w:rPr>
      </w:pPr>
      <w:r w:rsidRPr="001D4069">
        <w:rPr>
          <w:i/>
        </w:rPr>
        <w:t>Στα σημεί</w:t>
      </w:r>
      <w:r w:rsidR="00E6467A">
        <w:rPr>
          <w:i/>
        </w:rPr>
        <w:t>α 40.α.ι και 41</w:t>
      </w:r>
      <w:r w:rsidRPr="001D4069">
        <w:rPr>
          <w:i/>
        </w:rPr>
        <w:t xml:space="preserve"> </w:t>
      </w:r>
      <w:r w:rsidR="00E6467A">
        <w:rPr>
          <w:i/>
        </w:rPr>
        <w:t>ό</w:t>
      </w:r>
      <w:r w:rsidRPr="001D4069">
        <w:rPr>
          <w:i/>
        </w:rPr>
        <w:t>που αναφέρε</w:t>
      </w:r>
      <w:r w:rsidR="00E6467A">
        <w:rPr>
          <w:i/>
        </w:rPr>
        <w:t>τα</w:t>
      </w:r>
      <w:r w:rsidRPr="001D4069">
        <w:rPr>
          <w:i/>
        </w:rPr>
        <w:t>ι η ταυτότητα της οικονομικής δραστηριότητας που ενισχύεται</w:t>
      </w:r>
      <w:r w:rsidR="00E6467A">
        <w:rPr>
          <w:i/>
        </w:rPr>
        <w:t>, παρακαλούμε</w:t>
      </w:r>
      <w:r w:rsidRPr="001D4069">
        <w:rPr>
          <w:i/>
        </w:rPr>
        <w:t xml:space="preserve"> να διευκρινιστεί αν είναι απαραίτητη η χρήση ΚΑΔ . Αν ναι</w:t>
      </w:r>
      <w:r w:rsidR="00E6467A">
        <w:rPr>
          <w:i/>
        </w:rPr>
        <w:t>,</w:t>
      </w:r>
      <w:r w:rsidRPr="001D4069">
        <w:rPr>
          <w:i/>
        </w:rPr>
        <w:t xml:space="preserve"> να προσδιοριστεί το επίπεδο ανάλυσης. Επίσης το σημείο  αυτό θεωρούμε ότι έρχεται σε αντίθεση με το σημείο 115 όπου αναφέρεται ότι τα περισσότερο στοχευόμενα μέτρα σε συγκεκριμένους κλάδους είναι πιο στρεβλωτικά.</w:t>
      </w:r>
    </w:p>
    <w:p w:rsidR="001D4069" w:rsidRPr="001D4069" w:rsidRDefault="001D4069" w:rsidP="001D4069">
      <w:pPr>
        <w:pStyle w:val="a3"/>
        <w:rPr>
          <w:i/>
        </w:rPr>
      </w:pPr>
    </w:p>
    <w:p w:rsidR="00531423" w:rsidRDefault="00BF252E" w:rsidP="009317F5">
      <w:pPr>
        <w:pStyle w:val="a3"/>
        <w:numPr>
          <w:ilvl w:val="0"/>
          <w:numId w:val="2"/>
        </w:numPr>
        <w:jc w:val="both"/>
        <w:rPr>
          <w:i/>
        </w:rPr>
      </w:pPr>
      <w:r w:rsidRPr="00BF252E">
        <w:rPr>
          <w:i/>
        </w:rPr>
        <w:t>Σ</w:t>
      </w:r>
      <w:r w:rsidR="00FE722A">
        <w:rPr>
          <w:i/>
        </w:rPr>
        <w:t>το σημείο 52 προτείνεται να προστεθεί ότι γι</w:t>
      </w:r>
      <w:r w:rsidRPr="00BF252E">
        <w:rPr>
          <w:i/>
        </w:rPr>
        <w:t xml:space="preserve">α έργα που έχουν εγκριθεί υπό κεντρική </w:t>
      </w:r>
      <w:r>
        <w:rPr>
          <w:i/>
        </w:rPr>
        <w:t>Διαχείριση</w:t>
      </w:r>
      <w:r w:rsidR="00FE722A">
        <w:rPr>
          <w:i/>
        </w:rPr>
        <w:t>,</w:t>
      </w:r>
      <w:r w:rsidRPr="00BF252E">
        <w:rPr>
          <w:i/>
        </w:rPr>
        <w:t xml:space="preserve"> όπως το </w:t>
      </w:r>
      <w:r>
        <w:rPr>
          <w:i/>
        </w:rPr>
        <w:t xml:space="preserve">Seal OF Excellence </w:t>
      </w:r>
      <w:r w:rsidRPr="00BF252E">
        <w:rPr>
          <w:i/>
        </w:rPr>
        <w:t xml:space="preserve">και το </w:t>
      </w:r>
      <w:r>
        <w:rPr>
          <w:i/>
        </w:rPr>
        <w:t xml:space="preserve">Marie </w:t>
      </w:r>
      <w:proofErr w:type="spellStart"/>
      <w:r>
        <w:rPr>
          <w:i/>
        </w:rPr>
        <w:t>Currie</w:t>
      </w:r>
      <w:proofErr w:type="spellEnd"/>
      <w:r w:rsidR="00FE722A">
        <w:rPr>
          <w:i/>
        </w:rPr>
        <w:t>,</w:t>
      </w:r>
      <w:r>
        <w:rPr>
          <w:i/>
        </w:rPr>
        <w:t xml:space="preserve"> </w:t>
      </w:r>
      <w:r w:rsidR="00FE722A">
        <w:rPr>
          <w:i/>
        </w:rPr>
        <w:t>και ακολουθεί χρηματοδότηση</w:t>
      </w:r>
      <w:r w:rsidRPr="00BF252E">
        <w:rPr>
          <w:i/>
        </w:rPr>
        <w:t xml:space="preserve"> από κρατικούς πόρους τεκμαίρεται ότι πληρούν το χαρακτήρα κινήτρου.</w:t>
      </w:r>
    </w:p>
    <w:p w:rsidR="001D4069" w:rsidRPr="001D4069" w:rsidRDefault="001D4069" w:rsidP="001D4069">
      <w:pPr>
        <w:pStyle w:val="a3"/>
        <w:rPr>
          <w:i/>
        </w:rPr>
      </w:pPr>
    </w:p>
    <w:p w:rsidR="00BF252E" w:rsidRDefault="00BF252E" w:rsidP="009317F5">
      <w:pPr>
        <w:pStyle w:val="a3"/>
        <w:numPr>
          <w:ilvl w:val="0"/>
          <w:numId w:val="2"/>
        </w:numPr>
        <w:jc w:val="both"/>
        <w:rPr>
          <w:i/>
        </w:rPr>
      </w:pPr>
      <w:r>
        <w:rPr>
          <w:i/>
        </w:rPr>
        <w:t xml:space="preserve">Για τα </w:t>
      </w:r>
      <w:r w:rsidRPr="00BF252E">
        <w:rPr>
          <w:i/>
        </w:rPr>
        <w:t xml:space="preserve">ίδια έργα στο σημείο 62 </w:t>
      </w:r>
      <w:r w:rsidR="00674B4D" w:rsidRPr="00674B4D">
        <w:rPr>
          <w:i/>
        </w:rPr>
        <w:t xml:space="preserve">προτείνεται </w:t>
      </w:r>
      <w:r w:rsidRPr="00BF252E">
        <w:rPr>
          <w:i/>
        </w:rPr>
        <w:t>να προβλεφθεί ότι τεκμαίρεται η ανάγκη κρατικής παρέμβασης.</w:t>
      </w:r>
    </w:p>
    <w:p w:rsidR="001D4069" w:rsidRPr="001D4069" w:rsidRDefault="001D4069" w:rsidP="001D4069">
      <w:pPr>
        <w:pStyle w:val="a3"/>
        <w:rPr>
          <w:i/>
        </w:rPr>
      </w:pPr>
    </w:p>
    <w:p w:rsidR="00BF252E" w:rsidRPr="009317F5" w:rsidRDefault="00BF252E" w:rsidP="009317F5">
      <w:pPr>
        <w:pStyle w:val="a3"/>
        <w:numPr>
          <w:ilvl w:val="0"/>
          <w:numId w:val="2"/>
        </w:numPr>
        <w:jc w:val="both"/>
        <w:rPr>
          <w:i/>
        </w:rPr>
      </w:pPr>
      <w:r w:rsidRPr="00172656">
        <w:rPr>
          <w:i/>
        </w:rPr>
        <w:t xml:space="preserve">Στον πίνακα του σημείου 95 </w:t>
      </w:r>
      <w:r w:rsidR="00674B4D">
        <w:rPr>
          <w:i/>
        </w:rPr>
        <w:t>προτείνετα</w:t>
      </w:r>
      <w:r w:rsidR="00674B4D" w:rsidRPr="00674B4D">
        <w:rPr>
          <w:i/>
        </w:rPr>
        <w:t>ι</w:t>
      </w:r>
      <w:r w:rsidR="00674B4D" w:rsidRPr="00172656">
        <w:rPr>
          <w:i/>
        </w:rPr>
        <w:t xml:space="preserve"> </w:t>
      </w:r>
      <w:r w:rsidR="00172656" w:rsidRPr="00172656">
        <w:rPr>
          <w:i/>
        </w:rPr>
        <w:t xml:space="preserve">τα ποσοστά </w:t>
      </w:r>
      <w:r w:rsidR="009317F5" w:rsidRPr="009317F5">
        <w:rPr>
          <w:i/>
        </w:rPr>
        <w:t xml:space="preserve">να δέχονται προσαύξηση 10% για συμμετοχή τουλάχιστον 2ΚΜ, 10% για παροχή κυρίως σε μεσαίες επιχειρήσεις και </w:t>
      </w:r>
      <w:r w:rsidR="009317F5" w:rsidRPr="009317F5">
        <w:rPr>
          <w:i/>
        </w:rPr>
        <w:lastRenderedPageBreak/>
        <w:t xml:space="preserve">20% σε μικρές και πολύ μικρές. Με τον τρόπο αυτό </w:t>
      </w:r>
      <w:r w:rsidR="009317F5">
        <w:rPr>
          <w:i/>
        </w:rPr>
        <w:t>προτείνετ</w:t>
      </w:r>
      <w:r w:rsidR="009317F5" w:rsidRPr="009317F5">
        <w:rPr>
          <w:i/>
        </w:rPr>
        <w:t>αι τιμή βάσης 50%</w:t>
      </w:r>
      <w:r w:rsidR="00172656" w:rsidRPr="00172656">
        <w:rPr>
          <w:i/>
        </w:rPr>
        <w:t xml:space="preserve"> ώστε με την μικρότερη προσαύξηση να μπορούν να </w:t>
      </w:r>
      <w:r w:rsidR="009317F5" w:rsidRPr="00172656">
        <w:rPr>
          <w:i/>
        </w:rPr>
        <w:t>φτάσουν</w:t>
      </w:r>
      <w:r w:rsidR="00172656" w:rsidRPr="00172656">
        <w:rPr>
          <w:i/>
        </w:rPr>
        <w:t xml:space="preserve"> στα ποσοστά ερευνητικών υποδομών</w:t>
      </w:r>
      <w:r w:rsidR="00E7653E">
        <w:rPr>
          <w:i/>
        </w:rPr>
        <w:t>, αφού στην ουσία και τα δύο είδη χρησιμοποιούνται από ερευνητικούς οργανισμούς.</w:t>
      </w:r>
    </w:p>
    <w:tbl>
      <w:tblPr>
        <w:tblStyle w:val="a5"/>
        <w:tblW w:w="0" w:type="auto"/>
        <w:tblInd w:w="720" w:type="dxa"/>
        <w:tblLook w:val="04A0"/>
      </w:tblPr>
      <w:tblGrid>
        <w:gridCol w:w="5625"/>
        <w:gridCol w:w="2177"/>
      </w:tblGrid>
      <w:tr w:rsidR="009317F5" w:rsidTr="009317F5">
        <w:tc>
          <w:tcPr>
            <w:tcW w:w="5625" w:type="dxa"/>
          </w:tcPr>
          <w:p w:rsidR="009317F5" w:rsidRPr="009317F5" w:rsidRDefault="009317F5" w:rsidP="009317F5">
            <w:pPr>
              <w:jc w:val="both"/>
              <w:rPr>
                <w:i/>
              </w:rPr>
            </w:pPr>
          </w:p>
        </w:tc>
        <w:tc>
          <w:tcPr>
            <w:tcW w:w="2177" w:type="dxa"/>
          </w:tcPr>
          <w:p w:rsidR="009317F5" w:rsidRPr="009317F5" w:rsidRDefault="009317F5" w:rsidP="009317F5">
            <w:pPr>
              <w:jc w:val="both"/>
              <w:rPr>
                <w:i/>
              </w:rPr>
            </w:pPr>
          </w:p>
        </w:tc>
      </w:tr>
      <w:tr w:rsidR="009317F5" w:rsidTr="009317F5">
        <w:trPr>
          <w:trHeight w:val="674"/>
        </w:trPr>
        <w:tc>
          <w:tcPr>
            <w:tcW w:w="562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187"/>
              <w:gridCol w:w="222"/>
            </w:tblGrid>
            <w:tr w:rsidR="009317F5" w:rsidRPr="009317F5">
              <w:trPr>
                <w:trHeight w:val="274"/>
              </w:trPr>
              <w:tc>
                <w:tcPr>
                  <w:tcW w:w="0" w:type="auto"/>
                </w:tcPr>
                <w:p w:rsidR="009317F5" w:rsidRPr="009317F5" w:rsidRDefault="009317F5" w:rsidP="009317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317F5">
                    <w:rPr>
                      <w:rFonts w:ascii="Times New Roman" w:hAnsi="Times New Roman" w:cs="Times New Roman"/>
                      <w:color w:val="000000"/>
                    </w:rPr>
                    <w:t xml:space="preserve">την κατασκευή και αναβάθμιση τεχνολογικών υποδομών </w:t>
                  </w:r>
                </w:p>
              </w:tc>
              <w:tc>
                <w:tcPr>
                  <w:tcW w:w="0" w:type="auto"/>
                </w:tcPr>
                <w:p w:rsidR="009317F5" w:rsidRPr="009317F5" w:rsidRDefault="009317F5" w:rsidP="009317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9317F5" w:rsidRPr="009317F5" w:rsidTr="009317F5">
              <w:trPr>
                <w:trHeight w:val="60"/>
              </w:trPr>
              <w:tc>
                <w:tcPr>
                  <w:tcW w:w="0" w:type="auto"/>
                  <w:gridSpan w:val="2"/>
                </w:tcPr>
                <w:p w:rsidR="009317F5" w:rsidRPr="00E7653E" w:rsidRDefault="009317F5" w:rsidP="009317F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9317F5" w:rsidRPr="009317F5" w:rsidRDefault="009317F5" w:rsidP="009317F5">
            <w:pPr>
              <w:jc w:val="both"/>
              <w:rPr>
                <w:i/>
              </w:rPr>
            </w:pPr>
          </w:p>
        </w:tc>
        <w:tc>
          <w:tcPr>
            <w:tcW w:w="2177" w:type="dxa"/>
          </w:tcPr>
          <w:p w:rsidR="009317F5" w:rsidRPr="009317F5" w:rsidRDefault="009317F5" w:rsidP="009317F5">
            <w:pPr>
              <w:jc w:val="both"/>
              <w:rPr>
                <w:i/>
                <w:lang w:val="en-US"/>
              </w:rPr>
            </w:pPr>
            <w:r>
              <w:rPr>
                <w:i/>
                <w:lang w:val="en-US"/>
              </w:rPr>
              <w:t>40%</w:t>
            </w:r>
          </w:p>
        </w:tc>
      </w:tr>
      <w:tr w:rsidR="009317F5" w:rsidTr="009317F5">
        <w:tc>
          <w:tcPr>
            <w:tcW w:w="5625" w:type="dxa"/>
          </w:tcPr>
          <w:p w:rsidR="009317F5" w:rsidRPr="009317F5" w:rsidRDefault="009317F5" w:rsidP="009317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7F5" w:rsidRPr="009317F5" w:rsidRDefault="009317F5" w:rsidP="009317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17F5">
              <w:rPr>
                <w:rFonts w:ascii="Times New Roman" w:hAnsi="Times New Roman" w:cs="Times New Roman"/>
                <w:color w:val="000000"/>
              </w:rPr>
              <w:t xml:space="preserve">- εφόσον δύο τουλάχιστον κράτη μέλη παρέχουν τη δημόσια χρηματοδότηση </w:t>
            </w:r>
          </w:p>
          <w:p w:rsidR="009317F5" w:rsidRPr="009317F5" w:rsidRDefault="009317F5" w:rsidP="009317F5">
            <w:pPr>
              <w:jc w:val="both"/>
              <w:rPr>
                <w:i/>
              </w:rPr>
            </w:pPr>
          </w:p>
        </w:tc>
        <w:tc>
          <w:tcPr>
            <w:tcW w:w="2177" w:type="dxa"/>
          </w:tcPr>
          <w:p w:rsidR="009317F5" w:rsidRPr="009317F5" w:rsidRDefault="009317F5" w:rsidP="009317F5">
            <w:pPr>
              <w:jc w:val="both"/>
              <w:rPr>
                <w:i/>
                <w:lang w:val="en-US"/>
              </w:rPr>
            </w:pPr>
            <w:r>
              <w:rPr>
                <w:i/>
                <w:lang w:val="en-US"/>
              </w:rPr>
              <w:t>Προσαύξηση 10%</w:t>
            </w:r>
          </w:p>
        </w:tc>
      </w:tr>
      <w:tr w:rsidR="009317F5" w:rsidTr="009317F5">
        <w:tc>
          <w:tcPr>
            <w:tcW w:w="5625" w:type="dxa"/>
          </w:tcPr>
          <w:p w:rsidR="009317F5" w:rsidRPr="009317F5" w:rsidRDefault="009317F5" w:rsidP="009317F5">
            <w:pPr>
              <w:jc w:val="both"/>
              <w:rPr>
                <w:i/>
              </w:rPr>
            </w:pPr>
            <w:r w:rsidRPr="009317F5">
              <w:rPr>
                <w:rFonts w:ascii="Times New Roman" w:hAnsi="Times New Roman" w:cs="Times New Roman"/>
                <w:color w:val="000000"/>
              </w:rPr>
              <w:t>-  εφόσον η τεχνολογική υποδομή παρέχει υπηρεσίες κυρίως σε Μεσαία Επιχείρηση (διαθέτοντας τουλάχιστον 80 % της δυναμικότητάς της για τον σκοπό αυτό)</w:t>
            </w:r>
          </w:p>
        </w:tc>
        <w:tc>
          <w:tcPr>
            <w:tcW w:w="2177" w:type="dxa"/>
          </w:tcPr>
          <w:p w:rsidR="009317F5" w:rsidRPr="009317F5" w:rsidRDefault="009317F5" w:rsidP="009317F5">
            <w:pPr>
              <w:jc w:val="both"/>
              <w:rPr>
                <w:i/>
                <w:lang w:val="en-US"/>
              </w:rPr>
            </w:pPr>
            <w:r>
              <w:rPr>
                <w:i/>
                <w:lang w:val="en-US"/>
              </w:rPr>
              <w:t>προσαύξηση10%</w:t>
            </w:r>
          </w:p>
        </w:tc>
      </w:tr>
      <w:tr w:rsidR="009317F5" w:rsidTr="009317F5">
        <w:tc>
          <w:tcPr>
            <w:tcW w:w="5625" w:type="dxa"/>
          </w:tcPr>
          <w:p w:rsidR="009317F5" w:rsidRPr="009317F5" w:rsidRDefault="009317F5" w:rsidP="009317F5">
            <w:pPr>
              <w:jc w:val="both"/>
              <w:rPr>
                <w:i/>
              </w:rPr>
            </w:pPr>
            <w:r w:rsidRPr="009317F5">
              <w:rPr>
                <w:rFonts w:ascii="Times New Roman" w:hAnsi="Times New Roman" w:cs="Times New Roman"/>
                <w:color w:val="000000"/>
              </w:rPr>
              <w:t>-  εφόσον η τεχνολογική υποδομή παρέχει υπηρεσίες κυρίως σε Μικρή ή πολύ μικρή επιχείρηση</w:t>
            </w:r>
            <w:r w:rsidR="00B33B35" w:rsidRPr="00B33B3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317F5">
              <w:rPr>
                <w:rFonts w:ascii="Times New Roman" w:hAnsi="Times New Roman" w:cs="Times New Roman"/>
                <w:color w:val="000000"/>
              </w:rPr>
              <w:t>(διαθέτοντας τουλάχιστον 80 % της δυναμικότητάς της για τον σκοπό αυτό)</w:t>
            </w:r>
          </w:p>
        </w:tc>
        <w:tc>
          <w:tcPr>
            <w:tcW w:w="2177" w:type="dxa"/>
          </w:tcPr>
          <w:p w:rsidR="009317F5" w:rsidRPr="009317F5" w:rsidRDefault="009317F5" w:rsidP="009317F5">
            <w:pPr>
              <w:jc w:val="both"/>
              <w:rPr>
                <w:i/>
                <w:lang w:val="en-US"/>
              </w:rPr>
            </w:pPr>
            <w:r>
              <w:rPr>
                <w:i/>
                <w:lang w:val="en-US"/>
              </w:rPr>
              <w:t>Προσαύξηση 20%</w:t>
            </w:r>
          </w:p>
        </w:tc>
      </w:tr>
    </w:tbl>
    <w:p w:rsidR="001D4069" w:rsidRDefault="001D4069" w:rsidP="001D4069">
      <w:pPr>
        <w:pStyle w:val="a3"/>
        <w:jc w:val="both"/>
        <w:rPr>
          <w:i/>
        </w:rPr>
      </w:pPr>
    </w:p>
    <w:p w:rsidR="009317F5" w:rsidRDefault="009317F5" w:rsidP="00B33B35">
      <w:pPr>
        <w:pStyle w:val="a3"/>
        <w:numPr>
          <w:ilvl w:val="0"/>
          <w:numId w:val="2"/>
        </w:numPr>
        <w:jc w:val="both"/>
        <w:rPr>
          <w:i/>
        </w:rPr>
      </w:pPr>
      <w:r w:rsidRPr="009317F5">
        <w:rPr>
          <w:i/>
        </w:rPr>
        <w:t>Στο σημείο</w:t>
      </w:r>
      <w:r w:rsidR="00674B4D">
        <w:rPr>
          <w:i/>
        </w:rPr>
        <w:t xml:space="preserve"> 101 το όριο των 100.000 ευρώ </w:t>
      </w:r>
      <w:r w:rsidR="00674B4D" w:rsidRPr="00674B4D">
        <w:rPr>
          <w:i/>
        </w:rPr>
        <w:t xml:space="preserve">κρίνεται </w:t>
      </w:r>
      <w:r w:rsidRPr="009317F5">
        <w:rPr>
          <w:i/>
        </w:rPr>
        <w:t>ναι πολύ χαμηλό και αυξάνει τη γραφειοκρατία. Είναι</w:t>
      </w:r>
      <w:r>
        <w:rPr>
          <w:i/>
        </w:rPr>
        <w:t xml:space="preserve"> π</w:t>
      </w:r>
      <w:r w:rsidRPr="009317F5">
        <w:rPr>
          <w:i/>
        </w:rPr>
        <w:t xml:space="preserve">ιο χαμηλό και από το όριο Ενισχύσεων </w:t>
      </w:r>
      <w:r>
        <w:rPr>
          <w:i/>
        </w:rPr>
        <w:t>de minimis</w:t>
      </w:r>
      <w:r w:rsidRPr="009317F5">
        <w:rPr>
          <w:i/>
        </w:rPr>
        <w:t>. Προτείνεται το όριο να αυξηθεί σε 500.000€</w:t>
      </w:r>
      <w:r>
        <w:rPr>
          <w:i/>
          <w:lang w:val="en-US"/>
        </w:rPr>
        <w:t>.</w:t>
      </w:r>
      <w:r w:rsidRPr="009317F5">
        <w:rPr>
          <w:i/>
        </w:rPr>
        <w:t xml:space="preserve"> </w:t>
      </w:r>
    </w:p>
    <w:p w:rsidR="001D4069" w:rsidRDefault="001D4069" w:rsidP="001D4069">
      <w:pPr>
        <w:pStyle w:val="a3"/>
        <w:jc w:val="both"/>
        <w:rPr>
          <w:i/>
        </w:rPr>
      </w:pPr>
    </w:p>
    <w:p w:rsidR="00172656" w:rsidRDefault="009317F5" w:rsidP="00B33B35">
      <w:pPr>
        <w:pStyle w:val="a3"/>
        <w:numPr>
          <w:ilvl w:val="0"/>
          <w:numId w:val="2"/>
        </w:numPr>
        <w:jc w:val="both"/>
        <w:rPr>
          <w:i/>
        </w:rPr>
      </w:pPr>
      <w:r w:rsidRPr="009317F5">
        <w:rPr>
          <w:i/>
        </w:rPr>
        <w:t>Στο ίδιο σημείο αν έχουμε χρηματοδ</w:t>
      </w:r>
      <w:r>
        <w:rPr>
          <w:i/>
        </w:rPr>
        <w:t xml:space="preserve">ότηση από ΕΔΕΤ </w:t>
      </w:r>
      <w:r w:rsidR="00674B4D" w:rsidRPr="00674B4D">
        <w:rPr>
          <w:i/>
        </w:rPr>
        <w:t xml:space="preserve">προτείνεται </w:t>
      </w:r>
      <w:r>
        <w:rPr>
          <w:i/>
        </w:rPr>
        <w:t>οι απαιτή</w:t>
      </w:r>
      <w:r w:rsidRPr="009317F5">
        <w:rPr>
          <w:i/>
        </w:rPr>
        <w:t>σ</w:t>
      </w:r>
      <w:r>
        <w:rPr>
          <w:i/>
        </w:rPr>
        <w:t>εις δη</w:t>
      </w:r>
      <w:r w:rsidRPr="009317F5">
        <w:rPr>
          <w:i/>
        </w:rPr>
        <w:t>μοσιότητας να καλύπτονται από τις απαιτήσεις του Κανονισμού Κοινών Διατάξεων.</w:t>
      </w:r>
    </w:p>
    <w:p w:rsidR="001D4069" w:rsidRPr="001D4069" w:rsidRDefault="001D4069" w:rsidP="001D4069">
      <w:pPr>
        <w:pStyle w:val="a3"/>
        <w:rPr>
          <w:i/>
        </w:rPr>
      </w:pPr>
    </w:p>
    <w:p w:rsidR="00B33B35" w:rsidRPr="001D4069" w:rsidRDefault="00B33B35" w:rsidP="00DB034E">
      <w:pPr>
        <w:pStyle w:val="a3"/>
        <w:numPr>
          <w:ilvl w:val="0"/>
          <w:numId w:val="2"/>
        </w:numPr>
        <w:jc w:val="both"/>
        <w:rPr>
          <w:i/>
        </w:rPr>
      </w:pPr>
      <w:r w:rsidRPr="001D4069">
        <w:rPr>
          <w:i/>
          <w:lang w:val="en-US"/>
        </w:rPr>
        <w:t>Γενικά θέματα προς διευκρίνιση:</w:t>
      </w:r>
    </w:p>
    <w:p w:rsidR="00B33B35" w:rsidRPr="00B33B35" w:rsidRDefault="00B33B35" w:rsidP="00B33B35">
      <w:pPr>
        <w:pStyle w:val="a3"/>
        <w:numPr>
          <w:ilvl w:val="1"/>
          <w:numId w:val="2"/>
        </w:numPr>
        <w:jc w:val="both"/>
        <w:rPr>
          <w:i/>
        </w:rPr>
      </w:pPr>
      <w:r w:rsidRPr="00B33B35">
        <w:rPr>
          <w:i/>
        </w:rPr>
        <w:t xml:space="preserve">Θεωρείται ότι έχουμε ανεξάρτητη έρευνα αν είναι έρευνα σε ένα συγκεκριμένο κλάδο και δε σχετίζεται με συγκεκριμένη </w:t>
      </w:r>
      <w:r>
        <w:rPr>
          <w:i/>
        </w:rPr>
        <w:t>επιχείρηση</w:t>
      </w:r>
      <w:r w:rsidRPr="00B33B35">
        <w:rPr>
          <w:i/>
        </w:rPr>
        <w:t xml:space="preserve"> ή διαδικασία παραγωγής ή δε</w:t>
      </w:r>
      <w:r w:rsidR="00674B4D">
        <w:rPr>
          <w:i/>
        </w:rPr>
        <w:t>ν αποτελεί απαίτηση των ανωτέρω</w:t>
      </w:r>
      <w:r w:rsidR="00674B4D" w:rsidRPr="00674B4D">
        <w:rPr>
          <w:i/>
        </w:rPr>
        <w:t>;</w:t>
      </w:r>
    </w:p>
    <w:p w:rsidR="00B33B35" w:rsidRPr="00B33B35" w:rsidRDefault="00B33B35" w:rsidP="00B33B35">
      <w:pPr>
        <w:pStyle w:val="a3"/>
        <w:numPr>
          <w:ilvl w:val="1"/>
          <w:numId w:val="2"/>
        </w:numPr>
        <w:jc w:val="both"/>
        <w:rPr>
          <w:i/>
        </w:rPr>
      </w:pPr>
      <w:r w:rsidRPr="00B33B35">
        <w:rPr>
          <w:i/>
        </w:rPr>
        <w:t xml:space="preserve">Πως αντιμετωπίζεται στην πράξη το </w:t>
      </w:r>
      <w:r>
        <w:rPr>
          <w:i/>
        </w:rPr>
        <w:t>γεγονό</w:t>
      </w:r>
      <w:r w:rsidRPr="00B33B35">
        <w:rPr>
          <w:i/>
        </w:rPr>
        <w:t xml:space="preserve">ς </w:t>
      </w:r>
      <w:r>
        <w:rPr>
          <w:i/>
        </w:rPr>
        <w:t>ότ</w:t>
      </w:r>
      <w:r w:rsidRPr="00B33B35">
        <w:rPr>
          <w:i/>
        </w:rPr>
        <w:t>ι συνήθως δεν υφίσταται τιμή αγορ</w:t>
      </w:r>
      <w:r w:rsidR="00674B4D">
        <w:rPr>
          <w:i/>
        </w:rPr>
        <w:t>άς για τα προϊόντα της έρευνας</w:t>
      </w:r>
      <w:r w:rsidR="00674B4D" w:rsidRPr="00674B4D">
        <w:rPr>
          <w:i/>
        </w:rPr>
        <w:t>;</w:t>
      </w:r>
    </w:p>
    <w:p w:rsidR="00B33B35" w:rsidRDefault="00B33B35" w:rsidP="00B33B35">
      <w:pPr>
        <w:pStyle w:val="a3"/>
        <w:numPr>
          <w:ilvl w:val="1"/>
          <w:numId w:val="2"/>
        </w:numPr>
        <w:jc w:val="both"/>
        <w:rPr>
          <w:i/>
        </w:rPr>
      </w:pPr>
      <w:r w:rsidRPr="00B33B35">
        <w:rPr>
          <w:i/>
        </w:rPr>
        <w:lastRenderedPageBreak/>
        <w:t xml:space="preserve">Στην πραγματική συνεργασία </w:t>
      </w:r>
      <w:r w:rsidR="00E7653E" w:rsidRPr="00B33B35">
        <w:rPr>
          <w:i/>
        </w:rPr>
        <w:t>είναι</w:t>
      </w:r>
      <w:r w:rsidRPr="00B33B35">
        <w:rPr>
          <w:i/>
        </w:rPr>
        <w:t xml:space="preserve"> δύσκολη η εκ των προτέρων πρόβλεψη μελλοντικών εσόδων από </w:t>
      </w:r>
      <w:r>
        <w:rPr>
          <w:i/>
        </w:rPr>
        <w:t>IPR,</w:t>
      </w:r>
      <w:r w:rsidRPr="00B33B35">
        <w:rPr>
          <w:i/>
        </w:rPr>
        <w:t xml:space="preserve"> ώστε να υπάρξει α</w:t>
      </w:r>
      <w:r>
        <w:rPr>
          <w:i/>
        </w:rPr>
        <w:t>ναλογική συμμετοχή στα έσοδα</w:t>
      </w:r>
      <w:r w:rsidRPr="00B33B35">
        <w:rPr>
          <w:i/>
        </w:rPr>
        <w:t xml:space="preserve"> μεταξύ επιχείρησης και ερευνητικού οργανισμού, και στη διαδικασία αποζημίωσης του ΕΟ για πλήρη χρησιμοποίηση των αποτελεσμάτων έρευνας από την επιχείρηση.</w:t>
      </w:r>
    </w:p>
    <w:p w:rsidR="00172656" w:rsidRPr="00E7653E" w:rsidRDefault="00674B4D" w:rsidP="00DB034E">
      <w:pPr>
        <w:pStyle w:val="a3"/>
        <w:numPr>
          <w:ilvl w:val="1"/>
          <w:numId w:val="2"/>
        </w:numPr>
        <w:jc w:val="both"/>
        <w:rPr>
          <w:i/>
        </w:rPr>
      </w:pPr>
      <w:r>
        <w:rPr>
          <w:i/>
        </w:rPr>
        <w:t>Πως αντιμετωπί</w:t>
      </w:r>
      <w:r w:rsidRPr="00674B4D">
        <w:rPr>
          <w:i/>
        </w:rPr>
        <w:t>ζ</w:t>
      </w:r>
      <w:r w:rsidR="00E7653E" w:rsidRPr="00E7653E">
        <w:rPr>
          <w:i/>
        </w:rPr>
        <w:t>ουμε Οργανισμούς που ασκούν μεικτή δραστηριότητα και μη οικονομική ερευνητική δραστηριότητα, όπως π.χ. τα νοσοκομεία</w:t>
      </w:r>
      <w:r w:rsidRPr="00674B4D">
        <w:rPr>
          <w:i/>
        </w:rPr>
        <w:t>;</w:t>
      </w:r>
      <w:r w:rsidR="00E7653E" w:rsidRPr="00E7653E">
        <w:rPr>
          <w:i/>
        </w:rPr>
        <w:t xml:space="preserve"> Μπορούμε να τα αντιμετωπίσουμε κατ΄ αναλο</w:t>
      </w:r>
      <w:r>
        <w:rPr>
          <w:i/>
        </w:rPr>
        <w:t>γία των Ερευνητικών Οργανισμών</w:t>
      </w:r>
      <w:r>
        <w:rPr>
          <w:i/>
          <w:lang w:val="en-US"/>
        </w:rPr>
        <w:t>;</w:t>
      </w:r>
    </w:p>
    <w:p w:rsidR="00531423" w:rsidRPr="00531423" w:rsidRDefault="00531423" w:rsidP="00531423">
      <w:pPr>
        <w:tabs>
          <w:tab w:val="left" w:pos="1620"/>
        </w:tabs>
      </w:pPr>
      <w:r>
        <w:tab/>
      </w:r>
    </w:p>
    <w:sectPr w:rsidR="00531423" w:rsidRPr="00531423" w:rsidSect="00C52F5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D63BB"/>
    <w:multiLevelType w:val="hybridMultilevel"/>
    <w:tmpl w:val="A34E688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C943C9"/>
    <w:multiLevelType w:val="hybridMultilevel"/>
    <w:tmpl w:val="6C845C5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16CEB"/>
    <w:rsid w:val="000D3C9E"/>
    <w:rsid w:val="00172656"/>
    <w:rsid w:val="001D4069"/>
    <w:rsid w:val="00531423"/>
    <w:rsid w:val="00674B4D"/>
    <w:rsid w:val="00724520"/>
    <w:rsid w:val="00843A51"/>
    <w:rsid w:val="009317F5"/>
    <w:rsid w:val="00985BDE"/>
    <w:rsid w:val="00A16CEB"/>
    <w:rsid w:val="00AD56E6"/>
    <w:rsid w:val="00B33B35"/>
    <w:rsid w:val="00BF252E"/>
    <w:rsid w:val="00C52F5D"/>
    <w:rsid w:val="00DB034E"/>
    <w:rsid w:val="00E37FC1"/>
    <w:rsid w:val="00E6467A"/>
    <w:rsid w:val="00E7653E"/>
    <w:rsid w:val="00F72A9E"/>
    <w:rsid w:val="00FD3541"/>
    <w:rsid w:val="00FE7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3C9E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531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5314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726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9317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841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Ζ.Γ.</dc:creator>
  <cp:lastModifiedBy>Sophia</cp:lastModifiedBy>
  <cp:revision>3</cp:revision>
  <dcterms:created xsi:type="dcterms:W3CDTF">2021-06-02T07:43:00Z</dcterms:created>
  <dcterms:modified xsi:type="dcterms:W3CDTF">2021-06-02T09:38:00Z</dcterms:modified>
</cp:coreProperties>
</file>