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1554E" w14:textId="77777777" w:rsidR="00226F3C" w:rsidRPr="00D220C4" w:rsidRDefault="00A23F90" w:rsidP="00D91D61">
      <w:pPr>
        <w:pStyle w:val="Default"/>
        <w:jc w:val="center"/>
        <w:rPr>
          <w:rFonts w:ascii="Times New Roman" w:hAnsi="Times New Roman" w:cs="Times New Roman"/>
          <w:b/>
        </w:rPr>
      </w:pPr>
      <w:bookmarkStart w:id="0" w:name="_GoBack"/>
      <w:bookmarkEnd w:id="0"/>
      <w:r w:rsidRPr="004412D5">
        <w:rPr>
          <w:rFonts w:ascii="Times New Roman" w:hAnsi="Times New Roman" w:cs="Times New Roman"/>
          <w:b/>
          <w:lang w:val="en-US"/>
        </w:rPr>
        <w:t>Comments</w:t>
      </w:r>
      <w:r w:rsidR="004412D5" w:rsidRPr="004412D5">
        <w:rPr>
          <w:rFonts w:ascii="Times New Roman" w:hAnsi="Times New Roman" w:cs="Times New Roman"/>
          <w:b/>
          <w:lang w:val="en-US"/>
        </w:rPr>
        <w:t xml:space="preserve"> </w:t>
      </w:r>
      <w:r w:rsidR="00217393">
        <w:rPr>
          <w:rFonts w:ascii="Times New Roman" w:hAnsi="Times New Roman" w:cs="Times New Roman"/>
          <w:b/>
          <w:lang w:val="en-US"/>
        </w:rPr>
        <w:t xml:space="preserve">of the Czech Republic </w:t>
      </w:r>
      <w:r w:rsidR="004412D5" w:rsidRPr="004412D5">
        <w:rPr>
          <w:rFonts w:ascii="Times New Roman" w:hAnsi="Times New Roman" w:cs="Times New Roman"/>
          <w:b/>
          <w:lang w:val="en-US"/>
        </w:rPr>
        <w:t>on the draft revision of Framework for State aid for research and development and innovation (RDI Framework)</w:t>
      </w:r>
    </w:p>
    <w:p w14:paraId="2BC264F5" w14:textId="77777777" w:rsidR="004412D5" w:rsidRPr="004412D5" w:rsidRDefault="004412D5" w:rsidP="00D91D61">
      <w:pPr>
        <w:pStyle w:val="Default"/>
        <w:jc w:val="center"/>
        <w:rPr>
          <w:rFonts w:ascii="Times New Roman" w:hAnsi="Times New Roman" w:cs="Times New Roman"/>
          <w:b/>
          <w:lang w:val="en-US"/>
        </w:rPr>
      </w:pPr>
    </w:p>
    <w:p w14:paraId="5BA7D9C1" w14:textId="77777777" w:rsidR="00A23F90" w:rsidRPr="00C35312" w:rsidRDefault="00A23F90" w:rsidP="00D91D61">
      <w:pPr>
        <w:pStyle w:val="Default"/>
        <w:rPr>
          <w:rFonts w:ascii="Times New Roman" w:hAnsi="Times New Roman" w:cs="Times New Roman"/>
          <w:lang w:val="en-US"/>
        </w:rPr>
      </w:pPr>
    </w:p>
    <w:p w14:paraId="51599748" w14:textId="623093A4" w:rsidR="00A64FCB" w:rsidRDefault="00226F3C" w:rsidP="00017573">
      <w:pPr>
        <w:pStyle w:val="Odstavecseseznamem"/>
        <w:numPr>
          <w:ilvl w:val="0"/>
          <w:numId w:val="1"/>
        </w:numPr>
        <w:spacing w:after="0"/>
        <w:ind w:firstLine="0"/>
        <w:rPr>
          <w:rFonts w:ascii="Times New Roman" w:hAnsi="Times New Roman" w:cs="Times New Roman"/>
          <w:sz w:val="24"/>
          <w:szCs w:val="24"/>
          <w:lang w:val="en-US"/>
        </w:rPr>
      </w:pPr>
      <w:r w:rsidRPr="00C35312">
        <w:rPr>
          <w:rFonts w:ascii="Times New Roman" w:hAnsi="Times New Roman" w:cs="Times New Roman"/>
          <w:sz w:val="24"/>
          <w:szCs w:val="24"/>
          <w:lang w:val="en-US"/>
        </w:rPr>
        <w:t>SCOPE OF APPLICATION AND DEFINITIONS</w:t>
      </w:r>
    </w:p>
    <w:p w14:paraId="7C9CE9C5" w14:textId="77777777" w:rsidR="00BE4F4F" w:rsidRPr="00017573" w:rsidRDefault="00BE4F4F" w:rsidP="00017573">
      <w:pPr>
        <w:spacing w:after="0"/>
        <w:ind w:left="720"/>
        <w:rPr>
          <w:rFonts w:ascii="Times New Roman" w:hAnsi="Times New Roman" w:cs="Times New Roman"/>
          <w:sz w:val="24"/>
          <w:szCs w:val="24"/>
          <w:lang w:val="en-US"/>
        </w:rPr>
      </w:pPr>
    </w:p>
    <w:p w14:paraId="750D7AA6" w14:textId="77777777" w:rsidR="00F452C3" w:rsidRPr="00C35312" w:rsidRDefault="00F452C3" w:rsidP="00D91D61">
      <w:pPr>
        <w:pStyle w:val="Odstavecseseznamem"/>
        <w:numPr>
          <w:ilvl w:val="1"/>
          <w:numId w:val="1"/>
        </w:numPr>
        <w:ind w:left="709" w:firstLine="0"/>
        <w:rPr>
          <w:rFonts w:ascii="Times New Roman" w:hAnsi="Times New Roman" w:cs="Times New Roman"/>
          <w:sz w:val="24"/>
          <w:szCs w:val="24"/>
          <w:lang w:val="en-US"/>
        </w:rPr>
      </w:pPr>
      <w:r w:rsidRPr="00C35312">
        <w:rPr>
          <w:rFonts w:ascii="Times New Roman" w:hAnsi="Times New Roman" w:cs="Times New Roman"/>
          <w:sz w:val="24"/>
          <w:szCs w:val="24"/>
          <w:lang w:val="en-US"/>
        </w:rPr>
        <w:t>Definitions</w:t>
      </w:r>
    </w:p>
    <w:p w14:paraId="3946312D" w14:textId="733A2917" w:rsidR="00F452C3" w:rsidRPr="00C35312" w:rsidRDefault="00F452C3" w:rsidP="00D91D61">
      <w:pPr>
        <w:pStyle w:val="Odstavecseseznamem"/>
        <w:ind w:left="1080"/>
        <w:rPr>
          <w:rFonts w:ascii="Times New Roman" w:hAnsi="Times New Roman" w:cs="Times New Roman"/>
          <w:sz w:val="24"/>
          <w:szCs w:val="24"/>
          <w:lang w:val="en-US"/>
        </w:rPr>
      </w:pPr>
      <w:r w:rsidRPr="00C35312">
        <w:rPr>
          <w:rFonts w:ascii="Times New Roman" w:hAnsi="Times New Roman" w:cs="Times New Roman"/>
          <w:sz w:val="24"/>
          <w:szCs w:val="24"/>
          <w:lang w:val="en-US"/>
        </w:rPr>
        <w:t xml:space="preserve">(q) </w:t>
      </w:r>
      <w:r w:rsidRPr="00C35312">
        <w:rPr>
          <w:rFonts w:ascii="Times New Roman" w:hAnsi="Times New Roman" w:cs="Times New Roman"/>
          <w:b/>
          <w:bCs/>
          <w:sz w:val="24"/>
          <w:szCs w:val="24"/>
          <w:lang w:val="en-US"/>
        </w:rPr>
        <w:t xml:space="preserve">'individual aid' </w:t>
      </w:r>
    </w:p>
    <w:p w14:paraId="54D96A22" w14:textId="77777777" w:rsidR="00F452C3" w:rsidRPr="00C35312" w:rsidRDefault="00F452C3" w:rsidP="00D91D61">
      <w:pPr>
        <w:pStyle w:val="Odstavecseseznamem"/>
        <w:ind w:left="1080"/>
        <w:rPr>
          <w:rFonts w:ascii="Times New Roman" w:hAnsi="Times New Roman" w:cs="Times New Roman"/>
          <w:sz w:val="24"/>
          <w:szCs w:val="24"/>
          <w:lang w:val="en-US"/>
        </w:rPr>
      </w:pPr>
    </w:p>
    <w:p w14:paraId="33C96B93" w14:textId="3C10F7AC" w:rsidR="00D04380" w:rsidRPr="00427969" w:rsidRDefault="00624076" w:rsidP="00D91D61">
      <w:pPr>
        <w:pStyle w:val="Odstavecseseznamem"/>
        <w:ind w:left="1080"/>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 xml:space="preserve">We </w:t>
      </w:r>
      <w:r w:rsidR="00F452C3" w:rsidRPr="00427969">
        <w:rPr>
          <w:rFonts w:ascii="Times New Roman" w:hAnsi="Times New Roman" w:cs="Times New Roman"/>
          <w:color w:val="1F497D" w:themeColor="text2"/>
          <w:sz w:val="24"/>
          <w:szCs w:val="24"/>
          <w:lang w:val="en-US"/>
        </w:rPr>
        <w:t xml:space="preserve">suggest to keep the current definition: </w:t>
      </w:r>
      <w:r w:rsidR="00F452C3" w:rsidRPr="00427969">
        <w:rPr>
          <w:rFonts w:ascii="Times New Roman" w:hAnsi="Times New Roman" w:cs="Times New Roman"/>
          <w:b/>
          <w:bCs/>
          <w:color w:val="1F497D" w:themeColor="text2"/>
          <w:sz w:val="24"/>
          <w:szCs w:val="24"/>
          <w:lang w:val="en-US"/>
        </w:rPr>
        <w:t xml:space="preserve">'individual aid' </w:t>
      </w:r>
      <w:r w:rsidR="00F452C3" w:rsidRPr="00427969">
        <w:rPr>
          <w:rFonts w:ascii="Times New Roman" w:hAnsi="Times New Roman" w:cs="Times New Roman"/>
          <w:color w:val="1F497D" w:themeColor="text2"/>
          <w:sz w:val="24"/>
          <w:szCs w:val="24"/>
          <w:lang w:val="en-US"/>
        </w:rPr>
        <w:t>means aid awarded to a specific undertaking and includes ad hoc aid and aid awarded on the basis of an aid scheme;</w:t>
      </w:r>
    </w:p>
    <w:p w14:paraId="5130BC58" w14:textId="77777777" w:rsidR="004412D5" w:rsidRPr="004412D5" w:rsidRDefault="004412D5" w:rsidP="00D91D61">
      <w:pPr>
        <w:pStyle w:val="Odstavecseseznamem"/>
        <w:ind w:left="1080"/>
        <w:rPr>
          <w:rFonts w:ascii="Times New Roman" w:hAnsi="Times New Roman" w:cs="Times New Roman"/>
          <w:i/>
          <w:color w:val="1F497D" w:themeColor="text2"/>
          <w:sz w:val="24"/>
          <w:szCs w:val="24"/>
          <w:lang w:val="en-US"/>
        </w:rPr>
      </w:pPr>
    </w:p>
    <w:p w14:paraId="55B662EB" w14:textId="7147670F" w:rsidR="00D04380" w:rsidRPr="00C35312" w:rsidRDefault="00D04380" w:rsidP="00D91D61">
      <w:pPr>
        <w:pStyle w:val="Odstavecseseznamem"/>
        <w:ind w:left="1080"/>
        <w:jc w:val="both"/>
        <w:rPr>
          <w:rFonts w:ascii="Times New Roman" w:hAnsi="Times New Roman" w:cs="Times New Roman"/>
          <w:sz w:val="24"/>
          <w:szCs w:val="24"/>
          <w:lang w:val="en-US"/>
        </w:rPr>
      </w:pPr>
      <w:r w:rsidRPr="00C35312">
        <w:rPr>
          <w:rFonts w:ascii="Times New Roman" w:hAnsi="Times New Roman" w:cs="Times New Roman"/>
          <w:sz w:val="24"/>
          <w:szCs w:val="24"/>
          <w:lang w:val="en-US"/>
        </w:rPr>
        <w:t>(gg) '</w:t>
      </w:r>
      <w:r w:rsidRPr="00C35312">
        <w:rPr>
          <w:rFonts w:ascii="Times New Roman" w:hAnsi="Times New Roman" w:cs="Times New Roman"/>
          <w:b/>
          <w:bCs/>
          <w:sz w:val="24"/>
          <w:szCs w:val="24"/>
          <w:lang w:val="en-US"/>
        </w:rPr>
        <w:t>research infrastructure</w:t>
      </w:r>
      <w:r w:rsidRPr="00C35312">
        <w:rPr>
          <w:rFonts w:ascii="Times New Roman" w:hAnsi="Times New Roman" w:cs="Times New Roman"/>
          <w:sz w:val="24"/>
          <w:szCs w:val="24"/>
          <w:lang w:val="en-US"/>
        </w:rPr>
        <w:t xml:space="preserve">' </w:t>
      </w:r>
    </w:p>
    <w:p w14:paraId="50FDC13D" w14:textId="77777777" w:rsidR="00D04380" w:rsidRPr="00C35312" w:rsidRDefault="00D04380" w:rsidP="00D91D61">
      <w:pPr>
        <w:pStyle w:val="Odstavecseseznamem"/>
        <w:ind w:left="1080"/>
        <w:jc w:val="both"/>
        <w:rPr>
          <w:rFonts w:ascii="Times New Roman" w:hAnsi="Times New Roman" w:cs="Times New Roman"/>
          <w:sz w:val="24"/>
          <w:szCs w:val="24"/>
          <w:lang w:val="en-US"/>
        </w:rPr>
      </w:pPr>
    </w:p>
    <w:p w14:paraId="31EB2245" w14:textId="2AF06373" w:rsidR="00D04380" w:rsidRPr="00C35312" w:rsidRDefault="00624076" w:rsidP="00D91D61">
      <w:pPr>
        <w:pStyle w:val="Odstavecseseznamem"/>
        <w:ind w:left="1080"/>
        <w:jc w:val="both"/>
        <w:rPr>
          <w:rFonts w:ascii="Times New Roman" w:hAnsi="Times New Roman" w:cs="Times New Roman"/>
          <w:color w:val="1F497D" w:themeColor="text2"/>
          <w:sz w:val="24"/>
          <w:szCs w:val="24"/>
          <w:lang w:val="en-US"/>
        </w:rPr>
      </w:pPr>
      <w:r>
        <w:rPr>
          <w:rFonts w:ascii="Times New Roman" w:hAnsi="Times New Roman" w:cs="Times New Roman"/>
          <w:color w:val="1F497D" w:themeColor="text2"/>
          <w:sz w:val="24"/>
          <w:szCs w:val="24"/>
          <w:lang w:val="en-US"/>
        </w:rPr>
        <w:t xml:space="preserve"> We </w:t>
      </w:r>
      <w:r w:rsidR="00D04380" w:rsidRPr="00C35312">
        <w:rPr>
          <w:rFonts w:ascii="Times New Roman" w:hAnsi="Times New Roman" w:cs="Times New Roman"/>
          <w:color w:val="1F497D" w:themeColor="text2"/>
          <w:sz w:val="24"/>
          <w:szCs w:val="24"/>
          <w:lang w:val="en-US"/>
        </w:rPr>
        <w:t>propose to update the definition of the research infrastructure to explicitly include also human resources which are necessary for proper operation of this infrastructure (e.g., technicians, service etc.). Human resources are inseparable part of the research infrastructure which cannot operate without these resources. The absence of human resources in the definition of the research infrastructure could cause problem especially in case where the infrastructure exceeds the share thresholds for ancillary economic activities as only investment costs could benefit from aid for research infrastructure under Art. 26 of GBER.</w:t>
      </w:r>
    </w:p>
    <w:p w14:paraId="248E7421" w14:textId="77777777" w:rsidR="00D04380" w:rsidRPr="00C35312" w:rsidRDefault="00D04380" w:rsidP="00D91D61">
      <w:pPr>
        <w:pStyle w:val="Odstavecseseznamem"/>
        <w:ind w:left="1080"/>
        <w:rPr>
          <w:rFonts w:ascii="Times New Roman" w:hAnsi="Times New Roman" w:cs="Times New Roman"/>
          <w:sz w:val="24"/>
          <w:szCs w:val="24"/>
          <w:lang w:val="en-US"/>
        </w:rPr>
      </w:pPr>
    </w:p>
    <w:p w14:paraId="0809DF46" w14:textId="5B49AFBF" w:rsidR="00E33315" w:rsidRPr="00C35312" w:rsidRDefault="00E33315" w:rsidP="00D91D61">
      <w:pPr>
        <w:pStyle w:val="Odstavecseseznamem"/>
        <w:ind w:left="1080"/>
        <w:rPr>
          <w:rFonts w:ascii="Times New Roman" w:hAnsi="Times New Roman" w:cs="Times New Roman"/>
          <w:sz w:val="24"/>
          <w:szCs w:val="24"/>
          <w:lang w:val="en-US"/>
        </w:rPr>
      </w:pPr>
      <w:r w:rsidRPr="00C35312">
        <w:rPr>
          <w:rFonts w:ascii="Times New Roman" w:hAnsi="Times New Roman" w:cs="Times New Roman"/>
          <w:sz w:val="24"/>
          <w:szCs w:val="24"/>
          <w:lang w:val="en-US"/>
        </w:rPr>
        <w:t xml:space="preserve">(ii) </w:t>
      </w:r>
      <w:r w:rsidRPr="00C35312">
        <w:rPr>
          <w:rFonts w:ascii="Times New Roman" w:hAnsi="Times New Roman" w:cs="Times New Roman"/>
          <w:b/>
          <w:bCs/>
          <w:sz w:val="24"/>
          <w:szCs w:val="24"/>
          <w:lang w:val="en-US"/>
        </w:rPr>
        <w:t xml:space="preserve">'small and medium-sized enterprises' </w:t>
      </w:r>
    </w:p>
    <w:p w14:paraId="7DC72644" w14:textId="77777777" w:rsidR="00E33315" w:rsidRPr="00C35312" w:rsidRDefault="00E33315" w:rsidP="00D91D61">
      <w:pPr>
        <w:pStyle w:val="Odstavecseseznamem"/>
        <w:ind w:left="1080"/>
        <w:rPr>
          <w:rFonts w:ascii="Times New Roman" w:hAnsi="Times New Roman" w:cs="Times New Roman"/>
          <w:sz w:val="24"/>
          <w:szCs w:val="24"/>
          <w:lang w:val="en-US"/>
        </w:rPr>
      </w:pPr>
    </w:p>
    <w:p w14:paraId="5C13F47D" w14:textId="61E3A749" w:rsidR="00E33315" w:rsidRPr="00427969" w:rsidRDefault="00E33315" w:rsidP="00D91D61">
      <w:pPr>
        <w:pStyle w:val="Odstavecseseznamem"/>
        <w:ind w:left="1080"/>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The SMEs definition should be linked rather to</w:t>
      </w:r>
      <w:r w:rsidR="000C55F7" w:rsidRPr="00427969">
        <w:rPr>
          <w:rFonts w:ascii="Times New Roman" w:hAnsi="Times New Roman" w:cs="Times New Roman"/>
          <w:color w:val="1F497D" w:themeColor="text2"/>
          <w:sz w:val="24"/>
          <w:szCs w:val="24"/>
          <w:lang w:val="en-US"/>
        </w:rPr>
        <w:t xml:space="preserve"> Annex I</w:t>
      </w:r>
      <w:r w:rsidRPr="00427969">
        <w:rPr>
          <w:rFonts w:ascii="Times New Roman" w:hAnsi="Times New Roman" w:cs="Times New Roman"/>
          <w:color w:val="1F497D" w:themeColor="text2"/>
          <w:sz w:val="24"/>
          <w:szCs w:val="24"/>
          <w:lang w:val="en-US"/>
        </w:rPr>
        <w:t xml:space="preserve"> GBER and not to soft law recommendation</w:t>
      </w:r>
      <w:r w:rsidR="00C07D5B" w:rsidRPr="00427969">
        <w:rPr>
          <w:rFonts w:ascii="Times New Roman" w:hAnsi="Times New Roman" w:cs="Times New Roman"/>
          <w:color w:val="1F497D" w:themeColor="text2"/>
          <w:sz w:val="24"/>
          <w:szCs w:val="24"/>
          <w:lang w:val="en-US"/>
        </w:rPr>
        <w:t>.</w:t>
      </w:r>
    </w:p>
    <w:p w14:paraId="75958C95" w14:textId="77777777" w:rsidR="00BB58DB" w:rsidRPr="00C35312" w:rsidRDefault="00BB58DB" w:rsidP="00D91D61">
      <w:pPr>
        <w:pStyle w:val="Odstavecseseznamem"/>
        <w:ind w:left="1080"/>
        <w:rPr>
          <w:rFonts w:ascii="Times New Roman" w:hAnsi="Times New Roman" w:cs="Times New Roman"/>
          <w:i/>
          <w:color w:val="1F497D" w:themeColor="text2"/>
          <w:sz w:val="24"/>
          <w:szCs w:val="24"/>
          <w:lang w:val="en-US"/>
        </w:rPr>
      </w:pPr>
    </w:p>
    <w:p w14:paraId="04974DEF" w14:textId="77777777" w:rsidR="00F452C3" w:rsidRPr="00C35312" w:rsidRDefault="00F452C3" w:rsidP="00D91D61">
      <w:pPr>
        <w:pStyle w:val="Odstavecseseznamem"/>
        <w:ind w:left="1080"/>
        <w:rPr>
          <w:rFonts w:ascii="Times New Roman" w:hAnsi="Times New Roman" w:cs="Times New Roman"/>
          <w:sz w:val="24"/>
          <w:szCs w:val="24"/>
          <w:lang w:val="en-US"/>
        </w:rPr>
      </w:pPr>
    </w:p>
    <w:p w14:paraId="3B957A3A" w14:textId="77777777" w:rsidR="00226F3C" w:rsidRPr="00C35312" w:rsidRDefault="00226F3C" w:rsidP="00017573">
      <w:pPr>
        <w:pStyle w:val="Odstavecseseznamem"/>
        <w:numPr>
          <w:ilvl w:val="0"/>
          <w:numId w:val="1"/>
        </w:numPr>
        <w:spacing w:after="0"/>
        <w:ind w:firstLine="0"/>
        <w:rPr>
          <w:rFonts w:ascii="Times New Roman" w:hAnsi="Times New Roman" w:cs="Times New Roman"/>
          <w:sz w:val="24"/>
          <w:szCs w:val="24"/>
          <w:lang w:val="en-US"/>
        </w:rPr>
      </w:pPr>
      <w:r w:rsidRPr="00C35312">
        <w:rPr>
          <w:rFonts w:ascii="Times New Roman" w:hAnsi="Times New Roman" w:cs="Times New Roman"/>
          <w:sz w:val="24"/>
          <w:szCs w:val="24"/>
          <w:lang w:val="en-US"/>
        </w:rPr>
        <w:t>STATE AID WITHIN THE MEANING OF ARTICLE 107(1) OF THE TREATY</w:t>
      </w:r>
    </w:p>
    <w:p w14:paraId="707EE9F2" w14:textId="77777777" w:rsidR="00C8028E" w:rsidRPr="00C35312" w:rsidRDefault="00C8028E" w:rsidP="00D91D61">
      <w:pPr>
        <w:pStyle w:val="Odstavecseseznamem"/>
        <w:rPr>
          <w:rFonts w:ascii="Times New Roman" w:hAnsi="Times New Roman" w:cs="Times New Roman"/>
          <w:sz w:val="24"/>
          <w:szCs w:val="24"/>
          <w:lang w:val="en-US"/>
        </w:rPr>
      </w:pPr>
    </w:p>
    <w:p w14:paraId="4FE1D1D0" w14:textId="77777777" w:rsidR="007E40D6" w:rsidRPr="00C35312" w:rsidRDefault="007E40D6" w:rsidP="00BE4F4F">
      <w:pPr>
        <w:pStyle w:val="Default"/>
        <w:ind w:left="720"/>
        <w:jc w:val="both"/>
        <w:rPr>
          <w:rFonts w:ascii="Times New Roman" w:hAnsi="Times New Roman" w:cs="Times New Roman"/>
          <w:b/>
          <w:bCs/>
          <w:lang w:val="en-US"/>
        </w:rPr>
      </w:pPr>
      <w:r w:rsidRPr="00C35312">
        <w:rPr>
          <w:rFonts w:ascii="Times New Roman" w:hAnsi="Times New Roman" w:cs="Times New Roman"/>
          <w:b/>
          <w:bCs/>
          <w:lang w:val="en-US"/>
        </w:rPr>
        <w:t>2.1. Research and knowledge dissemination organisations and research infrastructures as recipients of State aid</w:t>
      </w:r>
    </w:p>
    <w:p w14:paraId="253AFDCB" w14:textId="77777777" w:rsidR="00ED5989" w:rsidRPr="00C35312" w:rsidRDefault="00ED5989" w:rsidP="00BE4F4F">
      <w:pPr>
        <w:pStyle w:val="Default"/>
        <w:ind w:left="720"/>
        <w:jc w:val="both"/>
        <w:rPr>
          <w:rFonts w:ascii="Times New Roman" w:hAnsi="Times New Roman" w:cs="Times New Roman"/>
          <w:b/>
          <w:bCs/>
          <w:lang w:val="en-US"/>
        </w:rPr>
      </w:pPr>
    </w:p>
    <w:p w14:paraId="6327176E" w14:textId="77777777" w:rsidR="00ED5989" w:rsidRPr="00C35312" w:rsidRDefault="00ED5989" w:rsidP="00BE4F4F">
      <w:pPr>
        <w:pStyle w:val="Default"/>
        <w:ind w:left="720"/>
        <w:jc w:val="both"/>
        <w:rPr>
          <w:rFonts w:ascii="Times New Roman" w:hAnsi="Times New Roman" w:cs="Times New Roman"/>
          <w:b/>
          <w:bCs/>
          <w:lang w:val="en-US"/>
        </w:rPr>
      </w:pPr>
      <w:r w:rsidRPr="00C35312">
        <w:rPr>
          <w:rFonts w:ascii="Times New Roman" w:hAnsi="Times New Roman" w:cs="Times New Roman"/>
          <w:i/>
          <w:iCs/>
          <w:lang w:val="en-US"/>
        </w:rPr>
        <w:t>2.1.1. Public funding of non-economic activities</w:t>
      </w:r>
    </w:p>
    <w:p w14:paraId="6FDAA832" w14:textId="77777777" w:rsidR="00AF6179" w:rsidRDefault="00AF6179" w:rsidP="00BE4F4F">
      <w:pPr>
        <w:pStyle w:val="Default"/>
        <w:ind w:left="720"/>
        <w:jc w:val="both"/>
        <w:rPr>
          <w:rFonts w:ascii="Times New Roman" w:hAnsi="Times New Roman" w:cs="Times New Roman"/>
          <w:lang w:val="en-US"/>
        </w:rPr>
      </w:pPr>
    </w:p>
    <w:p w14:paraId="6DBACA20" w14:textId="0631811E" w:rsidR="00D80CCE" w:rsidRDefault="00AF6179" w:rsidP="00D91D61">
      <w:pPr>
        <w:pStyle w:val="Default"/>
        <w:ind w:firstLine="708"/>
        <w:jc w:val="both"/>
        <w:rPr>
          <w:rFonts w:ascii="Times New Roman" w:hAnsi="Times New Roman" w:cs="Times New Roman"/>
          <w:lang w:val="en-US"/>
        </w:rPr>
      </w:pPr>
      <w:r>
        <w:rPr>
          <w:rFonts w:ascii="Times New Roman" w:hAnsi="Times New Roman" w:cs="Times New Roman"/>
          <w:lang w:val="en-US"/>
        </w:rPr>
        <w:t xml:space="preserve">Article 21. </w:t>
      </w:r>
      <w:r w:rsidR="007657AA">
        <w:rPr>
          <w:rFonts w:ascii="Times New Roman" w:hAnsi="Times New Roman" w:cs="Times New Roman"/>
          <w:lang w:val="en-US"/>
        </w:rPr>
        <w:t>(</w:t>
      </w:r>
      <w:r>
        <w:rPr>
          <w:rFonts w:ascii="Times New Roman" w:hAnsi="Times New Roman" w:cs="Times New Roman"/>
          <w:lang w:val="en-US"/>
        </w:rPr>
        <w:t>a)</w:t>
      </w:r>
    </w:p>
    <w:p w14:paraId="5A8BE9FE" w14:textId="32737489" w:rsidR="009D04FC" w:rsidRPr="00C35312" w:rsidRDefault="00624076" w:rsidP="00017573">
      <w:pPr>
        <w:pStyle w:val="Default"/>
        <w:ind w:firstLine="708"/>
        <w:rPr>
          <w:rFonts w:ascii="Times New Roman" w:hAnsi="Times New Roman" w:cs="Times New Roman"/>
          <w:color w:val="1F497D" w:themeColor="text2"/>
          <w:lang w:val="en-US"/>
        </w:rPr>
      </w:pPr>
      <w:r>
        <w:rPr>
          <w:rFonts w:ascii="Times New Roman" w:hAnsi="Times New Roman" w:cs="Times New Roman"/>
          <w:color w:val="1F497D" w:themeColor="text2"/>
          <w:lang w:val="en-US"/>
        </w:rPr>
        <w:t>We</w:t>
      </w:r>
      <w:r w:rsidR="00057C0A">
        <w:rPr>
          <w:rFonts w:ascii="Times New Roman" w:hAnsi="Times New Roman" w:cs="Times New Roman"/>
          <w:color w:val="1F497D" w:themeColor="text2"/>
          <w:lang w:val="en-US"/>
        </w:rPr>
        <w:t xml:space="preserve"> </w:t>
      </w:r>
      <w:r w:rsidR="009D04FC" w:rsidRPr="00C35312">
        <w:rPr>
          <w:rFonts w:ascii="Times New Roman" w:hAnsi="Times New Roman" w:cs="Times New Roman"/>
          <w:color w:val="1F497D" w:themeColor="text2"/>
          <w:lang w:val="en-US"/>
        </w:rPr>
        <w:t>suggest to add one more item (iv):</w:t>
      </w:r>
    </w:p>
    <w:p w14:paraId="449CA537" w14:textId="77777777" w:rsidR="009D04FC" w:rsidRPr="00C35312" w:rsidRDefault="009D04FC" w:rsidP="00D91D61">
      <w:pPr>
        <w:pStyle w:val="nadp"/>
        <w:ind w:left="709"/>
        <w:jc w:val="both"/>
        <w:rPr>
          <w:b w:val="0"/>
          <w:color w:val="1F497D" w:themeColor="text2"/>
          <w:lang w:val="en-US"/>
        </w:rPr>
      </w:pPr>
      <w:r w:rsidRPr="00C35312">
        <w:rPr>
          <w:b w:val="0"/>
          <w:color w:val="1F497D" w:themeColor="text2"/>
          <w:lang w:val="en-US"/>
        </w:rPr>
        <w:lastRenderedPageBreak/>
        <w:t>(iv) research which can be called ‘inspired’, done not in collaboration with an undertaking but in a manner similar to independent research and done on the basis of inspiration comi</w:t>
      </w:r>
      <w:r w:rsidR="009A6BCE" w:rsidRPr="00C35312">
        <w:rPr>
          <w:b w:val="0"/>
          <w:color w:val="1F497D" w:themeColor="text2"/>
          <w:lang w:val="en-US"/>
        </w:rPr>
        <w:t>ng from an application partner, t</w:t>
      </w:r>
      <w:r w:rsidRPr="00C35312">
        <w:rPr>
          <w:b w:val="0"/>
          <w:color w:val="1F497D" w:themeColor="text2"/>
          <w:lang w:val="en-US"/>
        </w:rPr>
        <w:t>ypically within an innovation cluster.</w:t>
      </w:r>
    </w:p>
    <w:p w14:paraId="487B170E" w14:textId="721AFFF1" w:rsidR="009D04FC" w:rsidRPr="00CB7CFF" w:rsidRDefault="009D04FC" w:rsidP="00D91D61">
      <w:pPr>
        <w:pStyle w:val="Odstavecseseznamem"/>
        <w:ind w:left="709" w:right="68"/>
        <w:jc w:val="both"/>
        <w:rPr>
          <w:rFonts w:ascii="Times New Roman" w:hAnsi="Times New Roman" w:cs="Times New Roman"/>
          <w:color w:val="1F497D" w:themeColor="text2"/>
          <w:sz w:val="24"/>
          <w:szCs w:val="24"/>
          <w:lang w:val="en-US"/>
        </w:rPr>
      </w:pPr>
      <w:r w:rsidRPr="00CB7CFF">
        <w:rPr>
          <w:rFonts w:ascii="Times New Roman" w:hAnsi="Times New Roman" w:cs="Times New Roman"/>
          <w:color w:val="1F497D" w:themeColor="text2"/>
          <w:sz w:val="24"/>
          <w:szCs w:val="24"/>
          <w:lang w:val="en-US"/>
        </w:rPr>
        <w:t>This kind of research is neglected by the definitions while it is the most valuable form of collaboration between undertakings and research organizations. It cannot be clearly called independent but it is not collaborative or applied research. It is surely a non-economic activity.</w:t>
      </w:r>
    </w:p>
    <w:p w14:paraId="02849604" w14:textId="337BCD2E" w:rsidR="007657AA" w:rsidRDefault="007657AA" w:rsidP="00D91D61">
      <w:pPr>
        <w:pStyle w:val="Odstavecseseznamem"/>
        <w:ind w:left="709" w:right="68"/>
        <w:jc w:val="both"/>
        <w:rPr>
          <w:rFonts w:ascii="Times New Roman" w:hAnsi="Times New Roman" w:cs="Times New Roman"/>
          <w:i/>
          <w:color w:val="1F497D" w:themeColor="text2"/>
          <w:sz w:val="24"/>
          <w:szCs w:val="24"/>
          <w:lang w:val="en-US"/>
        </w:rPr>
      </w:pPr>
    </w:p>
    <w:p w14:paraId="2B600246" w14:textId="1F7453D0" w:rsidR="007657AA" w:rsidRDefault="007657AA" w:rsidP="00D91D61">
      <w:pPr>
        <w:pStyle w:val="Default"/>
        <w:ind w:left="709"/>
        <w:jc w:val="both"/>
        <w:rPr>
          <w:rFonts w:ascii="Times New Roman" w:hAnsi="Times New Roman" w:cs="Times New Roman"/>
          <w:lang w:val="en-US"/>
        </w:rPr>
      </w:pPr>
      <w:r>
        <w:rPr>
          <w:rFonts w:ascii="Times New Roman" w:hAnsi="Times New Roman" w:cs="Times New Roman"/>
          <w:lang w:val="en-US"/>
        </w:rPr>
        <w:t>Article 22.</w:t>
      </w:r>
    </w:p>
    <w:p w14:paraId="3DAD5F20" w14:textId="4B55906B" w:rsidR="00767425" w:rsidRPr="00427969" w:rsidRDefault="00BC1839" w:rsidP="00D91D61">
      <w:pPr>
        <w:pStyle w:val="Default"/>
        <w:ind w:left="708"/>
        <w:jc w:val="both"/>
        <w:rPr>
          <w:rFonts w:ascii="Times New Roman" w:hAnsi="Times New Roman" w:cs="Times New Roman"/>
          <w:color w:val="1F497D" w:themeColor="text2"/>
          <w:lang w:val="en-US"/>
        </w:rPr>
      </w:pPr>
      <w:r w:rsidRPr="00427969">
        <w:rPr>
          <w:rFonts w:ascii="Times New Roman" w:hAnsi="Times New Roman" w:cs="Times New Roman"/>
          <w:color w:val="1F497D" w:themeColor="text2"/>
          <w:lang w:val="en-US"/>
        </w:rPr>
        <w:t xml:space="preserve">We propose to add </w:t>
      </w:r>
      <w:r w:rsidR="00BB58DB">
        <w:rPr>
          <w:rFonts w:ascii="Times New Roman" w:hAnsi="Times New Roman" w:cs="Times New Roman"/>
          <w:color w:val="1F497D" w:themeColor="text2"/>
          <w:lang w:val="en-US"/>
        </w:rPr>
        <w:t xml:space="preserve">a term </w:t>
      </w:r>
      <w:r w:rsidRPr="00427969">
        <w:rPr>
          <w:rFonts w:ascii="Times New Roman" w:hAnsi="Times New Roman" w:cs="Times New Roman"/>
          <w:b/>
          <w:color w:val="1F497D" w:themeColor="text2"/>
          <w:lang w:val="en-US"/>
        </w:rPr>
        <w:t>new technology infrastructures</w:t>
      </w:r>
      <w:r w:rsidRPr="00427969">
        <w:rPr>
          <w:rFonts w:ascii="Times New Roman" w:hAnsi="Times New Roman" w:cs="Times New Roman"/>
          <w:color w:val="1F497D" w:themeColor="text2"/>
          <w:lang w:val="en-US"/>
        </w:rPr>
        <w:t xml:space="preserve"> at the beginning of the article and to remove the new proposed text concerning the ancillary character of economic activities and their monitoring. We find th</w:t>
      </w:r>
      <w:r w:rsidR="00BB58DB">
        <w:rPr>
          <w:rFonts w:ascii="Times New Roman" w:hAnsi="Times New Roman" w:cs="Times New Roman"/>
          <w:color w:val="1F497D" w:themeColor="text2"/>
          <w:lang w:val="en-US"/>
        </w:rPr>
        <w:t>is</w:t>
      </w:r>
      <w:r w:rsidRPr="00427969">
        <w:rPr>
          <w:rFonts w:ascii="Times New Roman" w:hAnsi="Times New Roman" w:cs="Times New Roman"/>
          <w:color w:val="1F497D" w:themeColor="text2"/>
          <w:lang w:val="en-US"/>
        </w:rPr>
        <w:t xml:space="preserve"> new part redundant and confusing. In case the removal is not possible we would like to present following suggestions/comments:</w:t>
      </w:r>
    </w:p>
    <w:p w14:paraId="3F272D2F" w14:textId="77777777" w:rsidR="00767425" w:rsidRPr="00427969" w:rsidRDefault="00767425" w:rsidP="00D91D61">
      <w:pPr>
        <w:pStyle w:val="Default"/>
        <w:ind w:left="709"/>
        <w:jc w:val="both"/>
        <w:rPr>
          <w:rFonts w:ascii="Times New Roman" w:hAnsi="Times New Roman" w:cs="Times New Roman"/>
          <w:color w:val="1F497D" w:themeColor="text2"/>
          <w:lang w:val="en-US"/>
        </w:rPr>
      </w:pPr>
    </w:p>
    <w:p w14:paraId="1D96AEF6" w14:textId="77777777" w:rsidR="00D91D61" w:rsidRDefault="00D91D61" w:rsidP="00D91D61">
      <w:pPr>
        <w:pStyle w:val="Default"/>
        <w:ind w:left="709"/>
        <w:jc w:val="both"/>
        <w:rPr>
          <w:rFonts w:ascii="Times New Roman" w:hAnsi="Times New Roman" w:cs="Times New Roman"/>
          <w:color w:val="1F497D" w:themeColor="text2"/>
          <w:lang w:val="en-US"/>
        </w:rPr>
      </w:pPr>
    </w:p>
    <w:p w14:paraId="257FBC1D" w14:textId="01FE8DE8" w:rsidR="00413FD2" w:rsidRDefault="00413FD2" w:rsidP="00D91D61">
      <w:pPr>
        <w:pStyle w:val="Default"/>
        <w:ind w:left="709"/>
        <w:jc w:val="both"/>
        <w:rPr>
          <w:rFonts w:ascii="Times New Roman" w:hAnsi="Times New Roman" w:cs="Times New Roman"/>
          <w:color w:val="1F497D" w:themeColor="text2"/>
          <w:lang w:val="en-US"/>
        </w:rPr>
      </w:pPr>
      <w:r>
        <w:rPr>
          <w:rFonts w:ascii="Times New Roman" w:hAnsi="Times New Roman" w:cs="Times New Roman"/>
          <w:color w:val="1F497D" w:themeColor="text2"/>
          <w:lang w:val="en-US"/>
        </w:rPr>
        <w:t>Summary:</w:t>
      </w:r>
    </w:p>
    <w:p w14:paraId="7B903C6A" w14:textId="7FB041C9" w:rsidR="00775158" w:rsidRPr="00427969" w:rsidRDefault="00775158" w:rsidP="00D91D61">
      <w:pPr>
        <w:pStyle w:val="Default"/>
        <w:ind w:left="709"/>
        <w:jc w:val="both"/>
        <w:rPr>
          <w:rFonts w:ascii="Times New Roman" w:hAnsi="Times New Roman" w:cs="Times New Roman"/>
          <w:color w:val="1F497D" w:themeColor="text2"/>
          <w:lang w:val="en-US"/>
        </w:rPr>
      </w:pPr>
      <w:r w:rsidRPr="00427969">
        <w:rPr>
          <w:rFonts w:ascii="Times New Roman" w:hAnsi="Times New Roman" w:cs="Times New Roman"/>
          <w:color w:val="1F497D" w:themeColor="text2"/>
          <w:lang w:val="en-US"/>
        </w:rPr>
        <w:t>A</w:t>
      </w:r>
      <w:r w:rsidR="00BC66CC" w:rsidRPr="00427969">
        <w:rPr>
          <w:rFonts w:ascii="Times New Roman" w:hAnsi="Times New Roman" w:cs="Times New Roman"/>
          <w:color w:val="1F497D" w:themeColor="text2"/>
          <w:lang w:val="en-US"/>
        </w:rPr>
        <w:t xml:space="preserve">s regards how the monitoring of the ancillary character </w:t>
      </w:r>
      <w:r w:rsidRPr="00427969">
        <w:rPr>
          <w:rFonts w:ascii="Times New Roman" w:hAnsi="Times New Roman" w:cs="Times New Roman"/>
          <w:color w:val="1F497D" w:themeColor="text2"/>
          <w:lang w:val="en-US"/>
        </w:rPr>
        <w:t xml:space="preserve">more clarity </w:t>
      </w:r>
      <w:r w:rsidR="00BC66CC" w:rsidRPr="00427969">
        <w:rPr>
          <w:rFonts w:ascii="Times New Roman" w:hAnsi="Times New Roman" w:cs="Times New Roman"/>
          <w:color w:val="1F497D" w:themeColor="text2"/>
          <w:lang w:val="en-US"/>
        </w:rPr>
        <w:t>should be done</w:t>
      </w:r>
      <w:r w:rsidR="00AC3D22" w:rsidRPr="00427969">
        <w:rPr>
          <w:rFonts w:ascii="Times New Roman" w:hAnsi="Times New Roman" w:cs="Times New Roman"/>
          <w:color w:val="1F497D" w:themeColor="text2"/>
          <w:lang w:val="en-US"/>
        </w:rPr>
        <w:t xml:space="preserve">; </w:t>
      </w:r>
      <w:r w:rsidR="00767425" w:rsidRPr="00427969">
        <w:rPr>
          <w:rFonts w:ascii="Times New Roman" w:hAnsi="Times New Roman" w:cs="Times New Roman"/>
          <w:color w:val="1F497D" w:themeColor="text2"/>
          <w:lang w:val="en-US"/>
        </w:rPr>
        <w:t xml:space="preserve">What is meant by a 10 year period? Does it mean that after 10 years there is no need to monitor the character of the economic activity? It should be clarified </w:t>
      </w:r>
      <w:r w:rsidR="00AC3D22" w:rsidRPr="00427969">
        <w:rPr>
          <w:rFonts w:ascii="Times New Roman" w:hAnsi="Times New Roman" w:cs="Times New Roman"/>
          <w:color w:val="1F497D" w:themeColor="text2"/>
          <w:lang w:val="en-US"/>
        </w:rPr>
        <w:t xml:space="preserve">when this 10 years monitoring </w:t>
      </w:r>
      <w:r w:rsidR="00767425" w:rsidRPr="00427969">
        <w:rPr>
          <w:rFonts w:ascii="Times New Roman" w:hAnsi="Times New Roman" w:cs="Times New Roman"/>
          <w:color w:val="1F497D" w:themeColor="text2"/>
          <w:lang w:val="en-US"/>
        </w:rPr>
        <w:t>period</w:t>
      </w:r>
      <w:r w:rsidR="00AC3D22" w:rsidRPr="00427969">
        <w:rPr>
          <w:rFonts w:ascii="Times New Roman" w:hAnsi="Times New Roman" w:cs="Times New Roman"/>
          <w:color w:val="1F497D" w:themeColor="text2"/>
          <w:lang w:val="en-US"/>
        </w:rPr>
        <w:t xml:space="preserve"> start</w:t>
      </w:r>
      <w:r w:rsidR="00BC1839" w:rsidRPr="00427969">
        <w:rPr>
          <w:rFonts w:ascii="Times New Roman" w:hAnsi="Times New Roman" w:cs="Times New Roman"/>
          <w:color w:val="1F497D" w:themeColor="text2"/>
          <w:lang w:val="en-US"/>
        </w:rPr>
        <w:t>s</w:t>
      </w:r>
      <w:r w:rsidR="00AC3D22" w:rsidRPr="00427969">
        <w:rPr>
          <w:rFonts w:ascii="Times New Roman" w:hAnsi="Times New Roman" w:cs="Times New Roman"/>
          <w:color w:val="1F497D" w:themeColor="text2"/>
          <w:lang w:val="en-US"/>
        </w:rPr>
        <w:t xml:space="preserve">, especially if that financing of a research organization as a university is done by different providers in various times. It is </w:t>
      </w:r>
      <w:r w:rsidR="00767425" w:rsidRPr="00427969">
        <w:rPr>
          <w:rFonts w:ascii="Times New Roman" w:hAnsi="Times New Roman" w:cs="Times New Roman"/>
          <w:color w:val="1F497D" w:themeColor="text2"/>
          <w:lang w:val="en-US"/>
        </w:rPr>
        <w:t xml:space="preserve">also </w:t>
      </w:r>
      <w:r w:rsidR="00AC3D22" w:rsidRPr="00427969">
        <w:rPr>
          <w:rFonts w:ascii="Times New Roman" w:hAnsi="Times New Roman" w:cs="Times New Roman"/>
          <w:color w:val="1F497D" w:themeColor="text2"/>
          <w:lang w:val="en-US"/>
        </w:rPr>
        <w:t xml:space="preserve">not clear </w:t>
      </w:r>
      <w:r w:rsidR="009851A3" w:rsidRPr="00427969">
        <w:rPr>
          <w:rFonts w:ascii="Times New Roman" w:hAnsi="Times New Roman" w:cs="Times New Roman"/>
          <w:color w:val="1F497D" w:themeColor="text2"/>
          <w:lang w:val="en-US"/>
        </w:rPr>
        <w:t xml:space="preserve">whether the monitoring should be done by a research organization or by a public authority, </w:t>
      </w:r>
      <w:r w:rsidR="00BC1839" w:rsidRPr="00427969">
        <w:rPr>
          <w:rFonts w:ascii="Times New Roman" w:hAnsi="Times New Roman" w:cs="Times New Roman"/>
          <w:color w:val="1F497D" w:themeColor="text2"/>
          <w:lang w:val="en-US"/>
        </w:rPr>
        <w:t xml:space="preserve">a </w:t>
      </w:r>
      <w:r w:rsidR="009851A3" w:rsidRPr="00427969">
        <w:rPr>
          <w:rFonts w:ascii="Times New Roman" w:hAnsi="Times New Roman" w:cs="Times New Roman"/>
          <w:color w:val="1F497D" w:themeColor="text2"/>
          <w:lang w:val="en-US"/>
        </w:rPr>
        <w:t>public provider</w:t>
      </w:r>
      <w:r w:rsidR="00BC1839" w:rsidRPr="00427969">
        <w:rPr>
          <w:rFonts w:ascii="Times New Roman" w:hAnsi="Times New Roman" w:cs="Times New Roman"/>
          <w:color w:val="1F497D" w:themeColor="text2"/>
          <w:lang w:val="en-US"/>
        </w:rPr>
        <w:t>.</w:t>
      </w:r>
      <w:r w:rsidR="00FA6B96" w:rsidRPr="00427969">
        <w:rPr>
          <w:rFonts w:ascii="Times New Roman" w:hAnsi="Times New Roman" w:cs="Times New Roman"/>
          <w:color w:val="1F497D" w:themeColor="text2"/>
          <w:lang w:val="en-US"/>
        </w:rPr>
        <w:t xml:space="preserve"> </w:t>
      </w:r>
      <w:r w:rsidRPr="00427969">
        <w:rPr>
          <w:rFonts w:ascii="Times New Roman" w:hAnsi="Times New Roman" w:cs="Times New Roman"/>
          <w:color w:val="1F497D" w:themeColor="text2"/>
          <w:lang w:val="en-US"/>
        </w:rPr>
        <w:t xml:space="preserve">To a certain extent </w:t>
      </w:r>
      <w:r w:rsidR="00BC66CC" w:rsidRPr="00427969">
        <w:rPr>
          <w:rFonts w:ascii="Times New Roman" w:hAnsi="Times New Roman" w:cs="Times New Roman"/>
          <w:color w:val="1F497D" w:themeColor="text2"/>
          <w:lang w:val="en-US"/>
        </w:rPr>
        <w:t xml:space="preserve">a freedom </w:t>
      </w:r>
      <w:r w:rsidR="004412D5" w:rsidRPr="00427969">
        <w:rPr>
          <w:rFonts w:ascii="Times New Roman" w:hAnsi="Times New Roman" w:cs="Times New Roman"/>
          <w:color w:val="1F497D" w:themeColor="text2"/>
          <w:lang w:val="en-US"/>
        </w:rPr>
        <w:t xml:space="preserve">in </w:t>
      </w:r>
      <w:r w:rsidR="00BC66CC" w:rsidRPr="00427969">
        <w:rPr>
          <w:rFonts w:ascii="Times New Roman" w:hAnsi="Times New Roman" w:cs="Times New Roman"/>
          <w:color w:val="1F497D" w:themeColor="text2"/>
          <w:lang w:val="en-US"/>
        </w:rPr>
        <w:t>how to evaluate the capacity allocated to ancillary activities and within which frame should be given to the entities.</w:t>
      </w:r>
      <w:r w:rsidR="00D532A9" w:rsidRPr="00427969">
        <w:rPr>
          <w:rFonts w:ascii="Times New Roman" w:hAnsi="Times New Roman" w:cs="Times New Roman"/>
          <w:color w:val="1F497D" w:themeColor="text2"/>
          <w:lang w:val="en-US"/>
        </w:rPr>
        <w:t xml:space="preserve"> </w:t>
      </w:r>
    </w:p>
    <w:p w14:paraId="23D1D946" w14:textId="77777777" w:rsidR="00BB58DB" w:rsidRPr="00427969" w:rsidRDefault="00BB58DB" w:rsidP="00D91D61">
      <w:pPr>
        <w:pStyle w:val="Default"/>
        <w:ind w:left="709"/>
        <w:jc w:val="both"/>
        <w:rPr>
          <w:rFonts w:ascii="Times New Roman" w:hAnsi="Times New Roman" w:cs="Times New Roman"/>
          <w:color w:val="1F497D" w:themeColor="text2"/>
          <w:lang w:val="en-US"/>
        </w:rPr>
      </w:pPr>
    </w:p>
    <w:p w14:paraId="624336D7" w14:textId="13E38B8E" w:rsidR="003B30C8" w:rsidRDefault="00624076" w:rsidP="00D91D61">
      <w:pPr>
        <w:pStyle w:val="Default"/>
        <w:ind w:left="709"/>
        <w:jc w:val="both"/>
        <w:rPr>
          <w:rFonts w:ascii="Times New Roman" w:hAnsi="Times New Roman" w:cs="Times New Roman"/>
          <w:color w:val="1F497D" w:themeColor="text2"/>
          <w:lang w:val="en-US"/>
        </w:rPr>
      </w:pPr>
      <w:r w:rsidRPr="00427969">
        <w:rPr>
          <w:rFonts w:ascii="Times New Roman" w:hAnsi="Times New Roman" w:cs="Times New Roman"/>
          <w:color w:val="1F497D" w:themeColor="text2"/>
          <w:lang w:val="en-US"/>
        </w:rPr>
        <w:t>T</w:t>
      </w:r>
      <w:r w:rsidR="00F97BD7" w:rsidRPr="00427969">
        <w:rPr>
          <w:rFonts w:ascii="Times New Roman" w:hAnsi="Times New Roman" w:cs="Times New Roman"/>
          <w:color w:val="1F497D" w:themeColor="text2"/>
          <w:lang w:val="en-US"/>
        </w:rPr>
        <w:t>here is a need to clarify: “</w:t>
      </w:r>
      <w:r w:rsidR="00F97BD7" w:rsidRPr="00427969">
        <w:rPr>
          <w:rFonts w:ascii="Times New Roman" w:hAnsi="Times New Roman" w:cs="Times New Roman"/>
          <w:color w:val="1F497D" w:themeColor="text2"/>
          <w:u w:val="single"/>
          <w:lang w:val="en-US"/>
        </w:rPr>
        <w:t>i) which economic activity shall fall under State aid rules</w:t>
      </w:r>
      <w:r w:rsidR="00F97BD7" w:rsidRPr="00427969">
        <w:rPr>
          <w:rFonts w:ascii="Times New Roman" w:hAnsi="Times New Roman" w:cs="Times New Roman"/>
          <w:color w:val="1F497D" w:themeColor="text2"/>
          <w:lang w:val="en-US"/>
        </w:rPr>
        <w:t xml:space="preserve">, </w:t>
      </w:r>
      <w:r w:rsidR="00F97BD7" w:rsidRPr="00427969">
        <w:rPr>
          <w:rFonts w:ascii="Times New Roman" w:hAnsi="Times New Roman" w:cs="Times New Roman"/>
          <w:color w:val="1F497D" w:themeColor="text2"/>
          <w:u w:val="single"/>
          <w:lang w:val="en-US"/>
        </w:rPr>
        <w:t>ii) for which period</w:t>
      </w:r>
      <w:r w:rsidR="00F97BD7" w:rsidRPr="00427969">
        <w:rPr>
          <w:rFonts w:ascii="Times New Roman" w:hAnsi="Times New Roman" w:cs="Times New Roman"/>
          <w:color w:val="1F497D" w:themeColor="text2"/>
          <w:lang w:val="en-US"/>
        </w:rPr>
        <w:t xml:space="preserve"> and </w:t>
      </w:r>
      <w:r w:rsidR="00F97BD7" w:rsidRPr="00427969">
        <w:rPr>
          <w:rFonts w:ascii="Times New Roman" w:hAnsi="Times New Roman" w:cs="Times New Roman"/>
          <w:color w:val="1F497D" w:themeColor="text2"/>
          <w:u w:val="single"/>
          <w:lang w:val="en-US"/>
        </w:rPr>
        <w:t>iii) how to calculate it.</w:t>
      </w:r>
      <w:r w:rsidR="00F97BD7" w:rsidRPr="00427969">
        <w:rPr>
          <w:rFonts w:ascii="Times New Roman" w:hAnsi="Times New Roman" w:cs="Times New Roman"/>
          <w:color w:val="1F497D" w:themeColor="text2"/>
          <w:lang w:val="en-US"/>
        </w:rPr>
        <w:t>”</w:t>
      </w:r>
      <w:r w:rsidR="00771BDD" w:rsidRPr="00427969">
        <w:rPr>
          <w:rFonts w:ascii="Times New Roman" w:hAnsi="Times New Roman" w:cs="Times New Roman"/>
          <w:color w:val="1F497D" w:themeColor="text2"/>
          <w:lang w:val="en-US"/>
        </w:rPr>
        <w:t xml:space="preserve"> “</w:t>
      </w:r>
      <w:r w:rsidRPr="00427969">
        <w:rPr>
          <w:rFonts w:ascii="Times New Roman" w:hAnsi="Times New Roman" w:cs="Times New Roman"/>
          <w:color w:val="1F497D" w:themeColor="text2"/>
          <w:lang w:val="en-US"/>
        </w:rPr>
        <w:t>T</w:t>
      </w:r>
      <w:r w:rsidR="00771BDD" w:rsidRPr="00427969">
        <w:rPr>
          <w:rFonts w:ascii="Times New Roman" w:hAnsi="Times New Roman" w:cs="Times New Roman"/>
          <w:bCs/>
          <w:color w:val="1F497D" w:themeColor="text2"/>
          <w:lang w:val="en-US"/>
        </w:rPr>
        <w:t>he recovery shall be applied only for the actual year when the threshold is breached</w:t>
      </w:r>
      <w:r w:rsidR="00771BDD" w:rsidRPr="00427969">
        <w:rPr>
          <w:rFonts w:ascii="Times New Roman" w:hAnsi="Times New Roman" w:cs="Times New Roman"/>
          <w:color w:val="1F497D" w:themeColor="text2"/>
          <w:lang w:val="en-US"/>
        </w:rPr>
        <w:t>.”</w:t>
      </w:r>
      <w:r w:rsidR="00CA334E" w:rsidRPr="00427969">
        <w:rPr>
          <w:rFonts w:ascii="Times New Roman" w:hAnsi="Times New Roman" w:cs="Times New Roman"/>
          <w:color w:val="1F497D" w:themeColor="text2"/>
          <w:lang w:val="en-US"/>
        </w:rPr>
        <w:t xml:space="preserve"> It should be clarified if the recovery shall be related to i) total aid, ii) aid for particular year or iii) expenses which were supported. </w:t>
      </w:r>
      <w:r w:rsidRPr="00427969">
        <w:rPr>
          <w:rFonts w:ascii="Times New Roman" w:hAnsi="Times New Roman" w:cs="Times New Roman"/>
          <w:color w:val="1F497D" w:themeColor="text2"/>
          <w:lang w:val="en-US"/>
        </w:rPr>
        <w:t xml:space="preserve">We </w:t>
      </w:r>
      <w:r w:rsidR="00F827AC" w:rsidRPr="00427969">
        <w:rPr>
          <w:rFonts w:ascii="Times New Roman" w:hAnsi="Times New Roman" w:cs="Times New Roman"/>
          <w:color w:val="1F497D" w:themeColor="text2"/>
          <w:lang w:val="en-US"/>
        </w:rPr>
        <w:t>propose to establish a claw-back mechanism for ancillary economic activities, similarly to the Article 26 par. 7 of the GBER for the research organisations.</w:t>
      </w:r>
    </w:p>
    <w:p w14:paraId="4FFA5638" w14:textId="77777777" w:rsidR="007E39EE" w:rsidRPr="00427969" w:rsidRDefault="007E39EE" w:rsidP="00D91D61">
      <w:pPr>
        <w:pStyle w:val="Default"/>
        <w:ind w:left="709"/>
        <w:jc w:val="both"/>
        <w:rPr>
          <w:rFonts w:ascii="Times New Roman" w:hAnsi="Times New Roman" w:cs="Times New Roman"/>
          <w:color w:val="1F497D" w:themeColor="text2"/>
          <w:u w:val="single"/>
          <w:lang w:val="en-US"/>
        </w:rPr>
      </w:pPr>
    </w:p>
    <w:p w14:paraId="479BCFA4" w14:textId="77777777" w:rsidR="00CF191E" w:rsidRPr="00427969" w:rsidRDefault="00CF191E" w:rsidP="00D91D61">
      <w:pPr>
        <w:pStyle w:val="Default"/>
        <w:ind w:left="1700"/>
        <w:jc w:val="both"/>
        <w:rPr>
          <w:rFonts w:ascii="Times New Roman" w:hAnsi="Times New Roman" w:cs="Times New Roman"/>
          <w:i/>
          <w:color w:val="1F497D" w:themeColor="text2"/>
          <w:lang w:val="en-US"/>
        </w:rPr>
      </w:pPr>
    </w:p>
    <w:p w14:paraId="3F7991E2" w14:textId="77777777" w:rsidR="009D2649" w:rsidRPr="00427969" w:rsidRDefault="00CF191E" w:rsidP="00D91D61">
      <w:pPr>
        <w:pStyle w:val="Default"/>
        <w:ind w:left="708"/>
        <w:jc w:val="center"/>
        <w:rPr>
          <w:rFonts w:ascii="Times New Roman" w:hAnsi="Times New Roman" w:cs="Times New Roman"/>
          <w:i/>
          <w:color w:val="1F497D" w:themeColor="text2"/>
          <w:lang w:val="en-US"/>
        </w:rPr>
      </w:pPr>
      <w:r w:rsidRPr="00427969">
        <w:rPr>
          <w:rFonts w:ascii="Arial" w:hAnsi="Arial" w:cs="Arial"/>
          <w:i/>
          <w:color w:val="1F497D" w:themeColor="text2"/>
          <w:lang w:val="en-US"/>
        </w:rPr>
        <w:t>***</w:t>
      </w:r>
    </w:p>
    <w:p w14:paraId="35DE53A2" w14:textId="1B6D75B8" w:rsidR="009D2649" w:rsidRPr="00427969" w:rsidRDefault="003C38FD" w:rsidP="00D91D61">
      <w:pPr>
        <w:pStyle w:val="Default"/>
        <w:ind w:left="708"/>
        <w:rPr>
          <w:rFonts w:ascii="Times New Roman" w:hAnsi="Times New Roman" w:cs="Times New Roman"/>
          <w:i/>
          <w:color w:val="1F497D" w:themeColor="text2"/>
          <w:lang w:val="en-US"/>
        </w:rPr>
      </w:pPr>
      <w:r w:rsidRPr="00427969">
        <w:rPr>
          <w:rFonts w:ascii="Times New Roman" w:hAnsi="Times New Roman" w:cs="Times New Roman"/>
          <w:i/>
          <w:color w:val="1F497D" w:themeColor="text2"/>
          <w:lang w:val="en-US"/>
        </w:rPr>
        <w:t xml:space="preserve">More details </w:t>
      </w:r>
      <w:r w:rsidR="00FA6B96" w:rsidRPr="00427969">
        <w:rPr>
          <w:rFonts w:ascii="Times New Roman" w:hAnsi="Times New Roman" w:cs="Times New Roman"/>
          <w:i/>
          <w:color w:val="1F497D" w:themeColor="text2"/>
          <w:lang w:val="en-US"/>
        </w:rPr>
        <w:t>to above</w:t>
      </w:r>
      <w:r w:rsidRPr="00427969">
        <w:rPr>
          <w:rFonts w:ascii="Times New Roman" w:hAnsi="Times New Roman" w:cs="Times New Roman"/>
          <w:i/>
          <w:color w:val="1F497D" w:themeColor="text2"/>
          <w:lang w:val="en-US"/>
        </w:rPr>
        <w:t xml:space="preserve"> summary </w:t>
      </w:r>
      <w:r w:rsidR="009D2649" w:rsidRPr="00427969">
        <w:rPr>
          <w:rFonts w:ascii="Times New Roman" w:hAnsi="Times New Roman" w:cs="Times New Roman"/>
          <w:i/>
          <w:color w:val="1F497D" w:themeColor="text2"/>
          <w:lang w:val="en-US"/>
        </w:rPr>
        <w:t xml:space="preserve">on </w:t>
      </w:r>
      <w:r w:rsidR="009D2649" w:rsidRPr="00427969">
        <w:rPr>
          <w:rFonts w:ascii="Times New Roman" w:hAnsi="Times New Roman" w:cs="Times New Roman"/>
          <w:b/>
          <w:i/>
          <w:color w:val="1F497D" w:themeColor="text2"/>
          <w:lang w:val="en-US"/>
        </w:rPr>
        <w:t>ancillary economic activities:</w:t>
      </w:r>
    </w:p>
    <w:p w14:paraId="2D3B4119" w14:textId="77777777" w:rsidR="009D2649" w:rsidRPr="00427969" w:rsidRDefault="009D2649" w:rsidP="00D91D61">
      <w:pPr>
        <w:pStyle w:val="Default"/>
        <w:ind w:left="708"/>
        <w:jc w:val="both"/>
        <w:rPr>
          <w:rFonts w:ascii="Times New Roman" w:hAnsi="Times New Roman" w:cs="Times New Roman"/>
          <w:i/>
          <w:color w:val="1F497D" w:themeColor="text2"/>
          <w:lang w:val="en-US"/>
        </w:rPr>
      </w:pPr>
    </w:p>
    <w:p w14:paraId="48FF5837" w14:textId="77777777" w:rsidR="00667D37" w:rsidRPr="00427969" w:rsidRDefault="00667D37" w:rsidP="00D91D61">
      <w:pPr>
        <w:pStyle w:val="Default"/>
        <w:jc w:val="both"/>
        <w:rPr>
          <w:rFonts w:ascii="Times New Roman" w:hAnsi="Times New Roman" w:cs="Times New Roman"/>
          <w:color w:val="1F497D" w:themeColor="text2"/>
          <w:lang w:val="en-US"/>
        </w:rPr>
      </w:pPr>
    </w:p>
    <w:p w14:paraId="0E0A501B" w14:textId="0292F228" w:rsidR="00667D37" w:rsidRPr="00427969" w:rsidRDefault="00667D37" w:rsidP="00D91D61">
      <w:pPr>
        <w:spacing w:after="240"/>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 xml:space="preserve">An application mechanism of the additional rule for monitoring seems unclear to us as </w:t>
      </w:r>
      <w:r w:rsidR="00D62F9E" w:rsidRPr="00427969">
        <w:rPr>
          <w:rFonts w:ascii="Times New Roman" w:hAnsi="Times New Roman" w:cs="Times New Roman"/>
          <w:color w:val="1F497D" w:themeColor="text2"/>
          <w:sz w:val="24"/>
          <w:szCs w:val="24"/>
          <w:lang w:val="en-US"/>
        </w:rPr>
        <w:t>both terms;</w:t>
      </w:r>
      <w:r w:rsidRPr="00427969">
        <w:rPr>
          <w:rFonts w:ascii="Times New Roman" w:hAnsi="Times New Roman" w:cs="Times New Roman"/>
          <w:color w:val="1F497D" w:themeColor="text2"/>
          <w:sz w:val="24"/>
          <w:szCs w:val="24"/>
          <w:lang w:val="en-US"/>
        </w:rPr>
        <w:t xml:space="preserve"> research organisat</w:t>
      </w:r>
      <w:r w:rsidR="00D62F9E" w:rsidRPr="00427969">
        <w:rPr>
          <w:rFonts w:ascii="Times New Roman" w:hAnsi="Times New Roman" w:cs="Times New Roman"/>
          <w:color w:val="1F497D" w:themeColor="text2"/>
          <w:sz w:val="24"/>
          <w:szCs w:val="24"/>
          <w:lang w:val="en-US"/>
        </w:rPr>
        <w:t>ion and research infrastructure are used.</w:t>
      </w:r>
      <w:r w:rsidR="00FA6B96" w:rsidRPr="00427969">
        <w:rPr>
          <w:rFonts w:ascii="Times New Roman" w:hAnsi="Times New Roman" w:cs="Times New Roman"/>
          <w:color w:val="1F497D" w:themeColor="text2"/>
          <w:sz w:val="24"/>
          <w:szCs w:val="24"/>
          <w:lang w:val="en-US"/>
        </w:rPr>
        <w:t xml:space="preserve"> </w:t>
      </w:r>
      <w:r w:rsidRPr="00427969">
        <w:rPr>
          <w:rFonts w:ascii="Times New Roman" w:hAnsi="Times New Roman" w:cs="Times New Roman"/>
          <w:color w:val="1F497D" w:themeColor="text2"/>
          <w:sz w:val="24"/>
          <w:szCs w:val="24"/>
          <w:lang w:val="en-US"/>
        </w:rPr>
        <w:t xml:space="preserve">In case of research organisation, it appears unclear when </w:t>
      </w:r>
      <w:r w:rsidR="00D62F9E" w:rsidRPr="00427969">
        <w:rPr>
          <w:rFonts w:ascii="Times New Roman" w:hAnsi="Times New Roman" w:cs="Times New Roman"/>
          <w:color w:val="1F497D" w:themeColor="text2"/>
          <w:sz w:val="24"/>
          <w:szCs w:val="24"/>
          <w:lang w:val="en-US"/>
        </w:rPr>
        <w:t xml:space="preserve">the mentioned monitoring </w:t>
      </w:r>
      <w:r w:rsidRPr="00427969">
        <w:rPr>
          <w:rFonts w:ascii="Times New Roman" w:hAnsi="Times New Roman" w:cs="Times New Roman"/>
          <w:color w:val="1F497D" w:themeColor="text2"/>
          <w:sz w:val="24"/>
          <w:szCs w:val="24"/>
          <w:lang w:val="en-US"/>
        </w:rPr>
        <w:t>should</w:t>
      </w:r>
      <w:r w:rsidR="00D62F9E" w:rsidRPr="00427969">
        <w:rPr>
          <w:rFonts w:ascii="Times New Roman" w:hAnsi="Times New Roman" w:cs="Times New Roman"/>
          <w:color w:val="1F497D" w:themeColor="text2"/>
          <w:sz w:val="24"/>
          <w:szCs w:val="24"/>
          <w:lang w:val="en-US"/>
        </w:rPr>
        <w:t xml:space="preserve"> start</w:t>
      </w:r>
      <w:r w:rsidRPr="00427969">
        <w:rPr>
          <w:rFonts w:ascii="Times New Roman" w:hAnsi="Times New Roman" w:cs="Times New Roman"/>
          <w:color w:val="1F497D" w:themeColor="text2"/>
          <w:sz w:val="24"/>
          <w:szCs w:val="24"/>
          <w:lang w:val="en-US"/>
        </w:rPr>
        <w:t>.</w:t>
      </w:r>
    </w:p>
    <w:p w14:paraId="3CAFCAF0" w14:textId="77777777" w:rsidR="00667D37" w:rsidRPr="00427969" w:rsidRDefault="00667D37" w:rsidP="00D91D61">
      <w:pPr>
        <w:spacing w:after="240"/>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If the new text means monitoring generally from the beginning of operational existence of research organisation, we cannot see any connection to a specific supported project or state aid financing provided under this R&amp;D state aid framework or its timing.</w:t>
      </w:r>
    </w:p>
    <w:p w14:paraId="3F093CB1" w14:textId="77777777" w:rsidR="00667D37" w:rsidRPr="00427969" w:rsidRDefault="00A12761" w:rsidP="00D91D61">
      <w:pPr>
        <w:spacing w:after="240"/>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It is</w:t>
      </w:r>
      <w:r w:rsidR="00667D37" w:rsidRPr="00427969">
        <w:rPr>
          <w:rFonts w:ascii="Times New Roman" w:hAnsi="Times New Roman" w:cs="Times New Roman"/>
          <w:color w:val="1F497D" w:themeColor="text2"/>
          <w:sz w:val="24"/>
          <w:szCs w:val="24"/>
          <w:lang w:val="en-US"/>
        </w:rPr>
        <w:t xml:space="preserve"> also not clear how to apply the mechanism for research organisation e</w:t>
      </w:r>
      <w:r w:rsidR="00C67E59" w:rsidRPr="00427969">
        <w:rPr>
          <w:rFonts w:ascii="Times New Roman" w:hAnsi="Times New Roman" w:cs="Times New Roman"/>
          <w:color w:val="1F497D" w:themeColor="text2"/>
          <w:sz w:val="24"/>
          <w:szCs w:val="24"/>
          <w:lang w:val="en-US"/>
        </w:rPr>
        <w:t xml:space="preserve">xisting and operating over 10 </w:t>
      </w:r>
      <w:r w:rsidR="00667D37" w:rsidRPr="00427969">
        <w:rPr>
          <w:rFonts w:ascii="Times New Roman" w:hAnsi="Times New Roman" w:cs="Times New Roman"/>
          <w:color w:val="1F497D" w:themeColor="text2"/>
          <w:sz w:val="24"/>
          <w:szCs w:val="24"/>
          <w:lang w:val="en-US"/>
        </w:rPr>
        <w:t xml:space="preserve">years. The financing of research organisation as a university is </w:t>
      </w:r>
      <w:r w:rsidR="00667D37" w:rsidRPr="00427969">
        <w:rPr>
          <w:rFonts w:ascii="Times New Roman" w:hAnsi="Times New Roman" w:cs="Times New Roman"/>
          <w:color w:val="1F497D" w:themeColor="text2"/>
          <w:sz w:val="24"/>
          <w:szCs w:val="24"/>
          <w:lang w:val="en-US"/>
        </w:rPr>
        <w:lastRenderedPageBreak/>
        <w:t>typically carried out by many different providers in various time, for various specific projects or purposes or for specific relevant entities (e.g. faculties of the university). The supported projects themselves could be also different in terms of duration (e.g., up to 3 – 5 years) or in terms of subject of support (e.g., ongoing institutional aid for non-economic activities, one-time investment aid for equipment or buildings or initiating staff-operating costs). For this reason, it is unclear who/which provider shall monitor ancillary activities for 10 years. If all different providers shall monitor ancillary activities for at least 10 years it would cause huge administrative burden for both beneficiaries and providers of aid.</w:t>
      </w:r>
    </w:p>
    <w:p w14:paraId="606A3488" w14:textId="77777777" w:rsidR="00667D37" w:rsidRPr="00427969" w:rsidRDefault="00C41661" w:rsidP="00D91D61">
      <w:pPr>
        <w:pStyle w:val="Default"/>
        <w:ind w:left="708"/>
        <w:jc w:val="both"/>
        <w:rPr>
          <w:rFonts w:ascii="Times New Roman" w:hAnsi="Times New Roman" w:cs="Times New Roman"/>
          <w:color w:val="1F497D" w:themeColor="text2"/>
          <w:lang w:val="en-US"/>
        </w:rPr>
      </w:pPr>
      <w:r w:rsidRPr="00427969">
        <w:rPr>
          <w:rFonts w:ascii="Times New Roman" w:hAnsi="Times New Roman" w:cs="Times New Roman"/>
          <w:color w:val="1F497D" w:themeColor="text2"/>
          <w:lang w:val="en-US"/>
        </w:rPr>
        <w:t xml:space="preserve">In addition, </w:t>
      </w:r>
      <w:r w:rsidR="005B68F5" w:rsidRPr="00427969">
        <w:rPr>
          <w:rFonts w:ascii="Times New Roman" w:hAnsi="Times New Roman" w:cs="Times New Roman"/>
          <w:color w:val="1F497D" w:themeColor="text2"/>
          <w:lang w:val="en-US"/>
        </w:rPr>
        <w:t>what</w:t>
      </w:r>
      <w:r w:rsidRPr="00427969">
        <w:rPr>
          <w:rFonts w:ascii="Times New Roman" w:hAnsi="Times New Roman" w:cs="Times New Roman"/>
          <w:color w:val="1F497D" w:themeColor="text2"/>
          <w:lang w:val="en-US"/>
        </w:rPr>
        <w:t xml:space="preserve"> seems unclear </w:t>
      </w:r>
      <w:r w:rsidR="005B68F5" w:rsidRPr="00427969">
        <w:rPr>
          <w:rFonts w:ascii="Times New Roman" w:hAnsi="Times New Roman" w:cs="Times New Roman"/>
          <w:color w:val="1F497D" w:themeColor="text2"/>
          <w:lang w:val="en-US"/>
        </w:rPr>
        <w:t xml:space="preserve">is </w:t>
      </w:r>
      <w:r w:rsidR="00667D37" w:rsidRPr="00427969">
        <w:rPr>
          <w:rFonts w:ascii="Times New Roman" w:hAnsi="Times New Roman" w:cs="Times New Roman"/>
          <w:color w:val="1F497D" w:themeColor="text2"/>
          <w:lang w:val="en-US"/>
        </w:rPr>
        <w:t>the case of the research organisation that once increased its economic activity above the limit in the past, but at the relevant time of the new support the organisation has been under the limit again and its economic activity can be considered as ancillary</w:t>
      </w:r>
      <w:r w:rsidR="005B68F5" w:rsidRPr="00427969">
        <w:rPr>
          <w:rFonts w:ascii="Times New Roman" w:hAnsi="Times New Roman" w:cs="Times New Roman"/>
          <w:color w:val="1F497D" w:themeColor="text2"/>
          <w:lang w:val="en-US"/>
        </w:rPr>
        <w:t>.</w:t>
      </w:r>
      <w:r w:rsidR="00DD7B69" w:rsidRPr="00427969">
        <w:rPr>
          <w:rFonts w:ascii="Times New Roman" w:hAnsi="Times New Roman" w:cs="Times New Roman"/>
          <w:color w:val="1F497D" w:themeColor="text2"/>
          <w:lang w:val="en-US"/>
        </w:rPr>
        <w:t xml:space="preserve"> </w:t>
      </w:r>
    </w:p>
    <w:p w14:paraId="656E2443" w14:textId="77777777" w:rsidR="00455124" w:rsidRPr="00427969" w:rsidRDefault="00455124" w:rsidP="00D91D61">
      <w:pPr>
        <w:pStyle w:val="Default"/>
        <w:ind w:left="708"/>
        <w:jc w:val="both"/>
        <w:rPr>
          <w:rFonts w:ascii="Times New Roman" w:hAnsi="Times New Roman" w:cs="Times New Roman"/>
          <w:color w:val="1F497D" w:themeColor="text2"/>
          <w:lang w:val="en-US"/>
        </w:rPr>
      </w:pPr>
    </w:p>
    <w:p w14:paraId="4D721CE5" w14:textId="77777777" w:rsidR="00455124" w:rsidRPr="00C35312" w:rsidRDefault="00455124" w:rsidP="00D91D61">
      <w:pPr>
        <w:spacing w:after="240"/>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Additionally, we have following comments on wording (sentences) of point 22 which summaries our experiences with application of this mechanism.</w:t>
      </w:r>
    </w:p>
    <w:p w14:paraId="2DCB4F04" w14:textId="77777777" w:rsidR="00455124" w:rsidRPr="00C35312" w:rsidRDefault="00455124" w:rsidP="00D91D61">
      <w:pPr>
        <w:pStyle w:val="Odstavecseseznamem"/>
        <w:numPr>
          <w:ilvl w:val="0"/>
          <w:numId w:val="8"/>
        </w:numPr>
        <w:spacing w:after="120"/>
        <w:ind w:left="1064" w:firstLine="0"/>
        <w:jc w:val="both"/>
        <w:rPr>
          <w:rFonts w:ascii="Times New Roman" w:hAnsi="Times New Roman" w:cs="Times New Roman"/>
          <w:i/>
          <w:iCs/>
          <w:color w:val="1F497D" w:themeColor="text2"/>
          <w:sz w:val="24"/>
          <w:szCs w:val="24"/>
          <w:lang w:val="en-US"/>
        </w:rPr>
      </w:pPr>
      <w:r w:rsidRPr="00C35312">
        <w:rPr>
          <w:rFonts w:ascii="Times New Roman" w:hAnsi="Times New Roman" w:cs="Times New Roman"/>
          <w:i/>
          <w:iCs/>
          <w:color w:val="1F497D" w:themeColor="text2"/>
          <w:sz w:val="24"/>
          <w:szCs w:val="24"/>
          <w:lang w:val="en-US"/>
        </w:rPr>
        <w:t xml:space="preserve">“The monitoring of the ancillary character of the economic activity shall apply for at least 10 years </w:t>
      </w:r>
      <w:r w:rsidRPr="00C35312">
        <w:rPr>
          <w:rFonts w:ascii="Times New Roman" w:hAnsi="Times New Roman" w:cs="Times New Roman"/>
          <w:b/>
          <w:bCs/>
          <w:i/>
          <w:iCs/>
          <w:color w:val="1F497D" w:themeColor="text2"/>
          <w:sz w:val="24"/>
          <w:szCs w:val="24"/>
          <w:lang w:val="en-US"/>
        </w:rPr>
        <w:t>from the start of operations of the research organisation</w:t>
      </w:r>
      <w:r w:rsidRPr="00C35312">
        <w:rPr>
          <w:rFonts w:ascii="Times New Roman" w:hAnsi="Times New Roman" w:cs="Times New Roman"/>
          <w:i/>
          <w:iCs/>
          <w:color w:val="1F497D" w:themeColor="text2"/>
          <w:sz w:val="24"/>
          <w:szCs w:val="24"/>
          <w:lang w:val="en-US"/>
        </w:rPr>
        <w:t xml:space="preserve"> or the research infrastructure.”</w:t>
      </w:r>
    </w:p>
    <w:p w14:paraId="6BA30D6A"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The definition of the start of the monitoring is unclear as different terms “research organisation or the research infrastructure” are used instead of “relevant entity”.</w:t>
      </w:r>
    </w:p>
    <w:p w14:paraId="694687DA"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The notion of relevant entity is dynamic and is attached to the specific project (provided by a specific provider in a specific time). Contrary the notion of research organisation/infrastructure can include all various relevant entities (with specific projects) in the given research organisation/infrastructure.</w:t>
      </w:r>
    </w:p>
    <w:p w14:paraId="51D6A936"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 xml:space="preserve">For this reason, the </w:t>
      </w:r>
      <w:r w:rsidRPr="00C35312">
        <w:rPr>
          <w:rFonts w:ascii="Times New Roman" w:hAnsi="Times New Roman" w:cs="Times New Roman"/>
          <w:color w:val="1F497D" w:themeColor="text2"/>
          <w:sz w:val="24"/>
          <w:szCs w:val="24"/>
          <w:u w:val="single"/>
          <w:lang w:val="en-US"/>
        </w:rPr>
        <w:t>monitoring of ancillary economic activity shall be carried out at the level of relevant entity</w:t>
      </w:r>
      <w:r w:rsidRPr="00C35312">
        <w:rPr>
          <w:rFonts w:ascii="Times New Roman" w:hAnsi="Times New Roman" w:cs="Times New Roman"/>
          <w:color w:val="1F497D" w:themeColor="text2"/>
          <w:sz w:val="24"/>
          <w:szCs w:val="24"/>
          <w:lang w:val="en-US"/>
        </w:rPr>
        <w:t xml:space="preserve"> (as it is defined in Point 22), and also monitoring shall be started from the start of operations of the relevant entity or start of specific supported project or financing. </w:t>
      </w:r>
    </w:p>
    <w:p w14:paraId="33264F7D"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p>
    <w:p w14:paraId="5FC44434" w14:textId="77777777" w:rsidR="00455124" w:rsidRPr="00C35312" w:rsidRDefault="00455124" w:rsidP="00D91D61">
      <w:pPr>
        <w:pStyle w:val="Odstavecseseznamem"/>
        <w:numPr>
          <w:ilvl w:val="0"/>
          <w:numId w:val="8"/>
        </w:numPr>
        <w:spacing w:after="240"/>
        <w:ind w:left="1068" w:firstLine="0"/>
        <w:jc w:val="both"/>
        <w:rPr>
          <w:rFonts w:ascii="Times New Roman" w:hAnsi="Times New Roman" w:cs="Times New Roman"/>
          <w:i/>
          <w:iCs/>
          <w:color w:val="1F497D" w:themeColor="text2"/>
          <w:sz w:val="24"/>
          <w:szCs w:val="24"/>
          <w:lang w:val="en-US"/>
        </w:rPr>
      </w:pPr>
      <w:r w:rsidRPr="00C35312">
        <w:rPr>
          <w:rFonts w:ascii="Times New Roman" w:hAnsi="Times New Roman" w:cs="Times New Roman"/>
          <w:i/>
          <w:iCs/>
          <w:color w:val="1F497D" w:themeColor="text2"/>
          <w:sz w:val="24"/>
          <w:szCs w:val="24"/>
          <w:lang w:val="en-US"/>
        </w:rPr>
        <w:t xml:space="preserve">“The monitoring of the ancillary character of the economic activity shall apply </w:t>
      </w:r>
      <w:r w:rsidRPr="00C35312">
        <w:rPr>
          <w:rFonts w:ascii="Times New Roman" w:hAnsi="Times New Roman" w:cs="Times New Roman"/>
          <w:b/>
          <w:bCs/>
          <w:i/>
          <w:iCs/>
          <w:color w:val="1F497D" w:themeColor="text2"/>
          <w:sz w:val="24"/>
          <w:szCs w:val="24"/>
          <w:lang w:val="en-US"/>
        </w:rPr>
        <w:t>for at least 10 years</w:t>
      </w:r>
      <w:r w:rsidRPr="00C35312">
        <w:rPr>
          <w:rFonts w:ascii="Times New Roman" w:hAnsi="Times New Roman" w:cs="Times New Roman"/>
          <w:i/>
          <w:iCs/>
          <w:color w:val="1F497D" w:themeColor="text2"/>
          <w:sz w:val="24"/>
          <w:szCs w:val="24"/>
          <w:lang w:val="en-US"/>
        </w:rPr>
        <w:t xml:space="preserve"> from the start of operations of the research organisation or the research infrastructure.”</w:t>
      </w:r>
    </w:p>
    <w:p w14:paraId="077957E9"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p>
    <w:p w14:paraId="552E3107"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The financing of research organisation/infrastructure is typically carried out by several different providers in various time, for specific projects/purposes and for specific relevant entities. The supported projects themselves could be also different in terms of duration (e.g., short projects up to 3 years, long term projects) or in terms of subject of support (e.g., ongoing institutional aid for non-economic activities, one-time investment aid for equipment, buildings or labour costs). For this reason, it is unclear why provider of the short-term support shall monitor ancillary activities for 10 years (when the supported costs for salaries and short-term equipment are already consumed and aid is not provided anymore for this project).</w:t>
      </w:r>
    </w:p>
    <w:p w14:paraId="681BB9E6" w14:textId="655E6558" w:rsidR="00455124"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lastRenderedPageBreak/>
        <w:t xml:space="preserve">Therefore, we propose </w:t>
      </w:r>
      <w:r w:rsidRPr="00C35312">
        <w:rPr>
          <w:rFonts w:ascii="Times New Roman" w:hAnsi="Times New Roman" w:cs="Times New Roman"/>
          <w:b/>
          <w:bCs/>
          <w:color w:val="1F497D" w:themeColor="text2"/>
          <w:sz w:val="24"/>
          <w:szCs w:val="24"/>
          <w:lang w:val="en-US"/>
        </w:rPr>
        <w:t xml:space="preserve">the monitoring shall be limited for the period of providing of the aid for operational costs and/or the depreciation period of supported investment costs, </w:t>
      </w:r>
      <w:r w:rsidRPr="00C35312">
        <w:rPr>
          <w:rFonts w:ascii="Times New Roman" w:hAnsi="Times New Roman" w:cs="Times New Roman"/>
          <w:color w:val="1F497D" w:themeColor="text2"/>
          <w:sz w:val="24"/>
          <w:szCs w:val="24"/>
          <w:lang w:val="en-US"/>
        </w:rPr>
        <w:t>i.e., even for a shorter period than proposed 10 years. For projects which included aid for buildings or equipment with long depreciation periods we propose to make possible using of minimum 10 years monitoring period. The longer monitoring period would cause huge administrative burden for both beneficiaries and providers of aid (e.g., claw-back for 30 years in some cases) and is not proportional.</w:t>
      </w:r>
    </w:p>
    <w:p w14:paraId="7162C60B" w14:textId="77777777" w:rsidR="002B6838" w:rsidRPr="00C35312" w:rsidRDefault="002B6838" w:rsidP="00D91D61">
      <w:pPr>
        <w:pStyle w:val="Odstavecseseznamem"/>
        <w:spacing w:after="240"/>
        <w:ind w:left="1068"/>
        <w:jc w:val="both"/>
        <w:rPr>
          <w:rFonts w:ascii="Times New Roman" w:hAnsi="Times New Roman" w:cs="Times New Roman"/>
          <w:color w:val="1F497D" w:themeColor="text2"/>
          <w:sz w:val="24"/>
          <w:szCs w:val="24"/>
          <w:lang w:val="en-US"/>
        </w:rPr>
      </w:pPr>
    </w:p>
    <w:p w14:paraId="0AB79D07" w14:textId="5A609A5B"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 xml:space="preserve">We also propose </w:t>
      </w:r>
      <w:r w:rsidRPr="00C35312">
        <w:rPr>
          <w:rFonts w:ascii="Times New Roman" w:hAnsi="Times New Roman" w:cs="Times New Roman"/>
          <w:b/>
          <w:bCs/>
          <w:color w:val="1F497D" w:themeColor="text2"/>
          <w:sz w:val="24"/>
          <w:szCs w:val="24"/>
          <w:lang w:val="en-US"/>
        </w:rPr>
        <w:t>to cl</w:t>
      </w:r>
      <w:r w:rsidR="002B6838">
        <w:rPr>
          <w:rFonts w:ascii="Times New Roman" w:hAnsi="Times New Roman" w:cs="Times New Roman"/>
          <w:b/>
          <w:bCs/>
          <w:color w:val="1F497D" w:themeColor="text2"/>
          <w:sz w:val="24"/>
          <w:szCs w:val="24"/>
          <w:lang w:val="en-US"/>
        </w:rPr>
        <w:t>arify</w:t>
      </w:r>
      <w:r w:rsidRPr="00C35312">
        <w:rPr>
          <w:rFonts w:ascii="Times New Roman" w:hAnsi="Times New Roman" w:cs="Times New Roman"/>
          <w:b/>
          <w:bCs/>
          <w:color w:val="1F497D" w:themeColor="text2"/>
          <w:sz w:val="24"/>
          <w:szCs w:val="24"/>
          <w:lang w:val="en-US"/>
        </w:rPr>
        <w:t xml:space="preserve"> which provider shall monitor</w:t>
      </w:r>
      <w:r w:rsidRPr="00C35312">
        <w:rPr>
          <w:rFonts w:ascii="Times New Roman" w:hAnsi="Times New Roman" w:cs="Times New Roman"/>
          <w:color w:val="1F497D" w:themeColor="text2"/>
          <w:sz w:val="24"/>
          <w:szCs w:val="24"/>
          <w:lang w:val="en-US"/>
        </w:rPr>
        <w:t xml:space="preserve"> ancillary economic activity. Is it an obligation of a provider of aid (e.g., ministry of education) or monitoring shall be carried out centrally by a designated public authority (e.g., government office)? Note: providers of aid are usually different public authorities which have authorization and control mechanism only for aid provided by this provider (e.g., supported project).</w:t>
      </w:r>
    </w:p>
    <w:p w14:paraId="410FBB4F"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p>
    <w:p w14:paraId="13918E28" w14:textId="77777777" w:rsidR="00455124" w:rsidRPr="00C35312" w:rsidRDefault="00455124" w:rsidP="00D91D61">
      <w:pPr>
        <w:pStyle w:val="Odstavecseseznamem"/>
        <w:numPr>
          <w:ilvl w:val="0"/>
          <w:numId w:val="8"/>
        </w:numPr>
        <w:spacing w:after="240"/>
        <w:ind w:left="1068" w:firstLine="0"/>
        <w:jc w:val="both"/>
        <w:rPr>
          <w:rFonts w:ascii="Times New Roman" w:hAnsi="Times New Roman" w:cs="Times New Roman"/>
          <w:i/>
          <w:iCs/>
          <w:color w:val="1F497D" w:themeColor="text2"/>
          <w:sz w:val="24"/>
          <w:szCs w:val="24"/>
          <w:lang w:val="en-US"/>
        </w:rPr>
      </w:pPr>
      <w:r w:rsidRPr="00C35312">
        <w:rPr>
          <w:rFonts w:ascii="Times New Roman" w:hAnsi="Times New Roman" w:cs="Times New Roman"/>
          <w:i/>
          <w:iCs/>
          <w:color w:val="1F497D" w:themeColor="text2"/>
          <w:sz w:val="24"/>
          <w:szCs w:val="24"/>
          <w:lang w:val="en-US"/>
        </w:rPr>
        <w:t xml:space="preserve">“In case </w:t>
      </w:r>
      <w:r w:rsidRPr="00C35312">
        <w:rPr>
          <w:rFonts w:ascii="Times New Roman" w:hAnsi="Times New Roman" w:cs="Times New Roman"/>
          <w:b/>
          <w:bCs/>
          <w:i/>
          <w:iCs/>
          <w:color w:val="1F497D" w:themeColor="text2"/>
          <w:sz w:val="24"/>
          <w:szCs w:val="24"/>
          <w:lang w:val="en-US"/>
        </w:rPr>
        <w:t>the research infrastructure or the research organisation increases its economic activity</w:t>
      </w:r>
      <w:r w:rsidRPr="00C35312">
        <w:rPr>
          <w:rFonts w:ascii="Times New Roman" w:hAnsi="Times New Roman" w:cs="Times New Roman"/>
          <w:i/>
          <w:iCs/>
          <w:color w:val="1F497D" w:themeColor="text2"/>
          <w:sz w:val="24"/>
          <w:szCs w:val="24"/>
          <w:lang w:val="en-US"/>
        </w:rPr>
        <w:t xml:space="preserve"> so that it cannot be considered as ancillary, the public funding of the whole economic activity will fall under State aid rules.”</w:t>
      </w:r>
    </w:p>
    <w:p w14:paraId="520760CF" w14:textId="77777777"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p>
    <w:p w14:paraId="0019BB99" w14:textId="470E8D3F"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As we mentioned above</w:t>
      </w:r>
      <w:r w:rsidR="002B6838">
        <w:rPr>
          <w:rFonts w:ascii="Times New Roman" w:hAnsi="Times New Roman" w:cs="Times New Roman"/>
          <w:color w:val="1F497D" w:themeColor="text2"/>
          <w:sz w:val="24"/>
          <w:szCs w:val="24"/>
          <w:lang w:val="en-US"/>
        </w:rPr>
        <w:t>,</w:t>
      </w:r>
      <w:r w:rsidRPr="00C35312">
        <w:rPr>
          <w:rFonts w:ascii="Times New Roman" w:hAnsi="Times New Roman" w:cs="Times New Roman"/>
          <w:color w:val="1F497D" w:themeColor="text2"/>
          <w:sz w:val="24"/>
          <w:szCs w:val="24"/>
          <w:lang w:val="en-US"/>
        </w:rPr>
        <w:t xml:space="preserve"> the monitoring of ancillary economic activity shall be carried out at the level of the relevant entity as it is defined in Point 22. Also</w:t>
      </w:r>
      <w:r w:rsidR="002B6838">
        <w:rPr>
          <w:rFonts w:ascii="Times New Roman" w:hAnsi="Times New Roman" w:cs="Times New Roman"/>
          <w:color w:val="1F497D" w:themeColor="text2"/>
          <w:sz w:val="24"/>
          <w:szCs w:val="24"/>
          <w:lang w:val="en-US"/>
        </w:rPr>
        <w:t>,</w:t>
      </w:r>
      <w:r w:rsidRPr="00C35312">
        <w:rPr>
          <w:rFonts w:ascii="Times New Roman" w:hAnsi="Times New Roman" w:cs="Times New Roman"/>
          <w:color w:val="1F497D" w:themeColor="text2"/>
          <w:sz w:val="24"/>
          <w:szCs w:val="24"/>
          <w:lang w:val="en-US"/>
        </w:rPr>
        <w:t xml:space="preserve"> </w:t>
      </w:r>
      <w:r w:rsidR="002B6838">
        <w:rPr>
          <w:rFonts w:ascii="Times New Roman" w:hAnsi="Times New Roman" w:cs="Times New Roman"/>
          <w:b/>
          <w:bCs/>
          <w:color w:val="1F497D" w:themeColor="text2"/>
          <w:sz w:val="24"/>
          <w:szCs w:val="24"/>
          <w:lang w:val="en-US"/>
        </w:rPr>
        <w:t>an increase</w:t>
      </w:r>
      <w:r w:rsidR="002B6838" w:rsidRPr="00C35312">
        <w:rPr>
          <w:rFonts w:ascii="Times New Roman" w:hAnsi="Times New Roman" w:cs="Times New Roman"/>
          <w:b/>
          <w:bCs/>
          <w:color w:val="1F497D" w:themeColor="text2"/>
          <w:sz w:val="24"/>
          <w:szCs w:val="24"/>
          <w:lang w:val="en-US"/>
        </w:rPr>
        <w:t xml:space="preserve"> </w:t>
      </w:r>
      <w:r w:rsidRPr="00C35312">
        <w:rPr>
          <w:rFonts w:ascii="Times New Roman" w:hAnsi="Times New Roman" w:cs="Times New Roman"/>
          <w:b/>
          <w:bCs/>
          <w:color w:val="1F497D" w:themeColor="text2"/>
          <w:sz w:val="24"/>
          <w:szCs w:val="24"/>
          <w:lang w:val="en-US"/>
        </w:rPr>
        <w:t>of economic activity shall be related to the particular relevant entity</w:t>
      </w:r>
      <w:r w:rsidRPr="00C35312">
        <w:rPr>
          <w:rFonts w:ascii="Times New Roman" w:hAnsi="Times New Roman" w:cs="Times New Roman"/>
          <w:color w:val="1F497D" w:themeColor="text2"/>
          <w:sz w:val="24"/>
          <w:szCs w:val="24"/>
          <w:lang w:val="en-US"/>
        </w:rPr>
        <w:t xml:space="preserve"> and not to the research organisation/infrastructure as a whole.</w:t>
      </w:r>
    </w:p>
    <w:p w14:paraId="763E7A40" w14:textId="7C7B6B79" w:rsidR="00455124" w:rsidRPr="00C35312" w:rsidRDefault="00455124" w:rsidP="00D91D61">
      <w:pPr>
        <w:pStyle w:val="Odstavecseseznamem"/>
        <w:spacing w:after="240"/>
        <w:ind w:left="106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 xml:space="preserve">Otherwise, </w:t>
      </w:r>
      <w:r w:rsidR="002B6838">
        <w:rPr>
          <w:rFonts w:ascii="Times New Roman" w:hAnsi="Times New Roman" w:cs="Times New Roman"/>
          <w:color w:val="1F497D" w:themeColor="text2"/>
          <w:sz w:val="24"/>
          <w:szCs w:val="24"/>
          <w:lang w:val="en-US"/>
        </w:rPr>
        <w:t>an increase</w:t>
      </w:r>
      <w:r w:rsidRPr="00C35312">
        <w:rPr>
          <w:rFonts w:ascii="Times New Roman" w:hAnsi="Times New Roman" w:cs="Times New Roman"/>
          <w:color w:val="1F497D" w:themeColor="text2"/>
          <w:sz w:val="24"/>
          <w:szCs w:val="24"/>
          <w:lang w:val="en-US"/>
        </w:rPr>
        <w:t xml:space="preserve"> of economic activity in different relevant entities (e.g., projects or departments, which are carried out in the same research organisation but not related to supported project) could have negative consequences for </w:t>
      </w:r>
      <w:r w:rsidR="002B6838">
        <w:rPr>
          <w:rFonts w:ascii="Times New Roman" w:hAnsi="Times New Roman" w:cs="Times New Roman"/>
          <w:color w:val="1F497D" w:themeColor="text2"/>
          <w:sz w:val="24"/>
          <w:szCs w:val="24"/>
          <w:lang w:val="en-US"/>
        </w:rPr>
        <w:t xml:space="preserve">a </w:t>
      </w:r>
      <w:r w:rsidRPr="00C35312">
        <w:rPr>
          <w:rFonts w:ascii="Times New Roman" w:hAnsi="Times New Roman" w:cs="Times New Roman"/>
          <w:color w:val="1F497D" w:themeColor="text2"/>
          <w:sz w:val="24"/>
          <w:szCs w:val="24"/>
          <w:lang w:val="en-US"/>
        </w:rPr>
        <w:t xml:space="preserve">supported relevant entity. For example, a project of </w:t>
      </w:r>
      <w:r w:rsidR="002B6838">
        <w:rPr>
          <w:rFonts w:ascii="Times New Roman" w:hAnsi="Times New Roman" w:cs="Times New Roman"/>
          <w:color w:val="1F497D" w:themeColor="text2"/>
          <w:sz w:val="24"/>
          <w:szCs w:val="24"/>
          <w:lang w:val="en-US"/>
        </w:rPr>
        <w:t xml:space="preserve">a </w:t>
      </w:r>
      <w:r w:rsidRPr="00C35312">
        <w:rPr>
          <w:rFonts w:ascii="Times New Roman" w:hAnsi="Times New Roman" w:cs="Times New Roman"/>
          <w:color w:val="1F497D" w:themeColor="text2"/>
          <w:sz w:val="24"/>
          <w:szCs w:val="24"/>
          <w:lang w:val="en-US"/>
        </w:rPr>
        <w:t xml:space="preserve">relevant entity A (provided in 2020 by Ministry of Education) which is all the time fully in line with conditions for ancillary economic activity could be in future jeopardized by economic activity of </w:t>
      </w:r>
      <w:r w:rsidR="002B6838">
        <w:rPr>
          <w:rFonts w:ascii="Times New Roman" w:hAnsi="Times New Roman" w:cs="Times New Roman"/>
          <w:color w:val="1F497D" w:themeColor="text2"/>
          <w:sz w:val="24"/>
          <w:szCs w:val="24"/>
          <w:lang w:val="en-US"/>
        </w:rPr>
        <w:t xml:space="preserve">a </w:t>
      </w:r>
      <w:r w:rsidRPr="00C35312">
        <w:rPr>
          <w:rFonts w:ascii="Times New Roman" w:hAnsi="Times New Roman" w:cs="Times New Roman"/>
          <w:color w:val="1F497D" w:themeColor="text2"/>
          <w:sz w:val="24"/>
          <w:szCs w:val="24"/>
          <w:lang w:val="en-US"/>
        </w:rPr>
        <w:t>different relevant entity B (provided in 2025 by Ministry of Industry) in the same research organisation.</w:t>
      </w:r>
    </w:p>
    <w:p w14:paraId="55E4E6C1" w14:textId="77777777" w:rsidR="00455124" w:rsidRPr="00C35312" w:rsidRDefault="00455124" w:rsidP="00D91D61">
      <w:pPr>
        <w:pStyle w:val="Odstavecseseznamem"/>
        <w:spacing w:after="240"/>
        <w:ind w:left="430"/>
        <w:jc w:val="both"/>
        <w:rPr>
          <w:rFonts w:ascii="Times New Roman" w:hAnsi="Times New Roman" w:cs="Times New Roman"/>
          <w:color w:val="1F497D" w:themeColor="text2"/>
          <w:sz w:val="24"/>
          <w:szCs w:val="24"/>
          <w:lang w:val="en-US"/>
        </w:rPr>
      </w:pPr>
    </w:p>
    <w:p w14:paraId="49756B2E" w14:textId="77777777" w:rsidR="00455124" w:rsidRPr="00C35312" w:rsidRDefault="00455124" w:rsidP="00D91D61">
      <w:pPr>
        <w:pStyle w:val="Odstavecseseznamem"/>
        <w:numPr>
          <w:ilvl w:val="0"/>
          <w:numId w:val="8"/>
        </w:numPr>
        <w:spacing w:after="240"/>
        <w:ind w:left="1072" w:firstLine="0"/>
        <w:jc w:val="both"/>
        <w:rPr>
          <w:rFonts w:ascii="Times New Roman" w:hAnsi="Times New Roman" w:cs="Times New Roman"/>
          <w:i/>
          <w:iCs/>
          <w:color w:val="1F497D" w:themeColor="text2"/>
          <w:sz w:val="24"/>
          <w:szCs w:val="24"/>
          <w:lang w:val="en-US"/>
        </w:rPr>
      </w:pPr>
      <w:r w:rsidRPr="00C35312">
        <w:rPr>
          <w:rFonts w:ascii="Times New Roman" w:hAnsi="Times New Roman" w:cs="Times New Roman"/>
          <w:i/>
          <w:iCs/>
          <w:color w:val="1F497D" w:themeColor="text2"/>
          <w:sz w:val="24"/>
          <w:szCs w:val="24"/>
          <w:lang w:val="en-US"/>
        </w:rPr>
        <w:t xml:space="preserve">“In case the research infrastructure or the research organisation increases its economic activity so that it cannot be considered as ancillary, </w:t>
      </w:r>
      <w:r w:rsidRPr="00C35312">
        <w:rPr>
          <w:rFonts w:ascii="Times New Roman" w:hAnsi="Times New Roman" w:cs="Times New Roman"/>
          <w:b/>
          <w:bCs/>
          <w:i/>
          <w:iCs/>
          <w:color w:val="1F497D" w:themeColor="text2"/>
          <w:sz w:val="24"/>
          <w:szCs w:val="24"/>
          <w:lang w:val="en-US"/>
        </w:rPr>
        <w:t>the public funding of the whole economic activity will fall under State aid rules</w:t>
      </w:r>
      <w:r w:rsidRPr="00C35312">
        <w:rPr>
          <w:rFonts w:ascii="Times New Roman" w:hAnsi="Times New Roman" w:cs="Times New Roman"/>
          <w:i/>
          <w:iCs/>
          <w:color w:val="1F497D" w:themeColor="text2"/>
          <w:sz w:val="24"/>
          <w:szCs w:val="24"/>
          <w:lang w:val="en-US"/>
        </w:rPr>
        <w:t>.”</w:t>
      </w:r>
    </w:p>
    <w:p w14:paraId="389DA139"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p>
    <w:p w14:paraId="123ED590" w14:textId="26CB26EC"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u w:val="single"/>
          <w:lang w:val="en-US"/>
        </w:rPr>
      </w:pPr>
      <w:r w:rsidRPr="00C35312">
        <w:rPr>
          <w:rFonts w:ascii="Times New Roman" w:hAnsi="Times New Roman" w:cs="Times New Roman"/>
          <w:color w:val="1F497D" w:themeColor="text2"/>
          <w:sz w:val="24"/>
          <w:szCs w:val="24"/>
          <w:lang w:val="en-US"/>
        </w:rPr>
        <w:t>Although according to the highlighted wording of Point 22 whole economic activity shall fall under State aid rules</w:t>
      </w:r>
      <w:r w:rsidR="00036605">
        <w:rPr>
          <w:rFonts w:ascii="Times New Roman" w:hAnsi="Times New Roman" w:cs="Times New Roman"/>
          <w:color w:val="1F497D" w:themeColor="text2"/>
          <w:sz w:val="24"/>
          <w:szCs w:val="24"/>
          <w:lang w:val="en-US"/>
        </w:rPr>
        <w:t>,</w:t>
      </w:r>
      <w:r w:rsidRPr="00C35312">
        <w:rPr>
          <w:rFonts w:ascii="Times New Roman" w:hAnsi="Times New Roman" w:cs="Times New Roman"/>
          <w:color w:val="1F497D" w:themeColor="text2"/>
          <w:sz w:val="24"/>
          <w:szCs w:val="24"/>
          <w:lang w:val="en-US"/>
        </w:rPr>
        <w:t xml:space="preserve"> there is a need to clarify: </w:t>
      </w:r>
      <w:r w:rsidRPr="00C35312">
        <w:rPr>
          <w:rFonts w:ascii="Times New Roman" w:hAnsi="Times New Roman" w:cs="Times New Roman"/>
          <w:color w:val="1F497D" w:themeColor="text2"/>
          <w:sz w:val="24"/>
          <w:szCs w:val="24"/>
          <w:u w:val="single"/>
          <w:lang w:val="en-US"/>
        </w:rPr>
        <w:t>i) which economic activity shall fall under State aid rules</w:t>
      </w:r>
      <w:r w:rsidRPr="00C35312">
        <w:rPr>
          <w:rFonts w:ascii="Times New Roman" w:hAnsi="Times New Roman" w:cs="Times New Roman"/>
          <w:color w:val="1F497D" w:themeColor="text2"/>
          <w:sz w:val="24"/>
          <w:szCs w:val="24"/>
          <w:lang w:val="en-US"/>
        </w:rPr>
        <w:t xml:space="preserve">, </w:t>
      </w:r>
      <w:r w:rsidRPr="00C35312">
        <w:rPr>
          <w:rFonts w:ascii="Times New Roman" w:hAnsi="Times New Roman" w:cs="Times New Roman"/>
          <w:color w:val="1F497D" w:themeColor="text2"/>
          <w:sz w:val="24"/>
          <w:szCs w:val="24"/>
          <w:u w:val="single"/>
          <w:lang w:val="en-US"/>
        </w:rPr>
        <w:t>ii) for which period</w:t>
      </w:r>
      <w:r w:rsidRPr="00C35312">
        <w:rPr>
          <w:rFonts w:ascii="Times New Roman" w:hAnsi="Times New Roman" w:cs="Times New Roman"/>
          <w:color w:val="1F497D" w:themeColor="text2"/>
          <w:sz w:val="24"/>
          <w:szCs w:val="24"/>
          <w:lang w:val="en-US"/>
        </w:rPr>
        <w:t xml:space="preserve"> and </w:t>
      </w:r>
      <w:r w:rsidRPr="00C35312">
        <w:rPr>
          <w:rFonts w:ascii="Times New Roman" w:hAnsi="Times New Roman" w:cs="Times New Roman"/>
          <w:color w:val="1F497D" w:themeColor="text2"/>
          <w:sz w:val="24"/>
          <w:szCs w:val="24"/>
          <w:u w:val="single"/>
          <w:lang w:val="en-US"/>
        </w:rPr>
        <w:t>iii) how to calculate it.</w:t>
      </w:r>
    </w:p>
    <w:p w14:paraId="0F939E3A"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We can demonstrate these problems with a simple example of a relevant entity which has various percentage shares of economic activity within 5 years.</w:t>
      </w:r>
    </w:p>
    <w:p w14:paraId="2D29D14B"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p>
    <w:tbl>
      <w:tblPr>
        <w:tblStyle w:val="Mkatabulky"/>
        <w:tblW w:w="8233" w:type="dxa"/>
        <w:tblInd w:w="1072" w:type="dxa"/>
        <w:tblLook w:val="04A0" w:firstRow="1" w:lastRow="0" w:firstColumn="1" w:lastColumn="0" w:noHBand="0" w:noVBand="1"/>
      </w:tblPr>
      <w:tblGrid>
        <w:gridCol w:w="3037"/>
        <w:gridCol w:w="1039"/>
        <w:gridCol w:w="1039"/>
        <w:gridCol w:w="1039"/>
        <w:gridCol w:w="1039"/>
        <w:gridCol w:w="1040"/>
      </w:tblGrid>
      <w:tr w:rsidR="00455124" w:rsidRPr="00C35312" w14:paraId="0873C296" w14:textId="77777777" w:rsidTr="00A77466">
        <w:tc>
          <w:tcPr>
            <w:tcW w:w="3037" w:type="dxa"/>
            <w:vMerge w:val="restart"/>
            <w:vAlign w:val="center"/>
          </w:tcPr>
          <w:p w14:paraId="384EE2E5"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p>
        </w:tc>
        <w:tc>
          <w:tcPr>
            <w:tcW w:w="5196" w:type="dxa"/>
            <w:gridSpan w:val="5"/>
            <w:vAlign w:val="center"/>
          </w:tcPr>
          <w:p w14:paraId="45632AF5"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Year</w:t>
            </w:r>
          </w:p>
        </w:tc>
      </w:tr>
      <w:tr w:rsidR="00455124" w:rsidRPr="00C35312" w14:paraId="2D378CD0" w14:textId="77777777" w:rsidTr="00A77466">
        <w:tc>
          <w:tcPr>
            <w:tcW w:w="3037" w:type="dxa"/>
            <w:vMerge/>
            <w:vAlign w:val="center"/>
          </w:tcPr>
          <w:p w14:paraId="5BFCB634"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p>
        </w:tc>
        <w:tc>
          <w:tcPr>
            <w:tcW w:w="1039" w:type="dxa"/>
            <w:vAlign w:val="center"/>
          </w:tcPr>
          <w:p w14:paraId="08E6CE33"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1.</w:t>
            </w:r>
          </w:p>
        </w:tc>
        <w:tc>
          <w:tcPr>
            <w:tcW w:w="1039" w:type="dxa"/>
            <w:vAlign w:val="center"/>
          </w:tcPr>
          <w:p w14:paraId="19811DD2"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2.</w:t>
            </w:r>
          </w:p>
        </w:tc>
        <w:tc>
          <w:tcPr>
            <w:tcW w:w="1039" w:type="dxa"/>
            <w:vAlign w:val="center"/>
          </w:tcPr>
          <w:p w14:paraId="0961C9F9"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3.</w:t>
            </w:r>
          </w:p>
        </w:tc>
        <w:tc>
          <w:tcPr>
            <w:tcW w:w="1039" w:type="dxa"/>
            <w:vAlign w:val="center"/>
          </w:tcPr>
          <w:p w14:paraId="078E1048"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4.</w:t>
            </w:r>
          </w:p>
        </w:tc>
        <w:tc>
          <w:tcPr>
            <w:tcW w:w="1040" w:type="dxa"/>
            <w:vAlign w:val="center"/>
          </w:tcPr>
          <w:p w14:paraId="70133DD2"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5.</w:t>
            </w:r>
          </w:p>
        </w:tc>
      </w:tr>
      <w:tr w:rsidR="00455124" w:rsidRPr="00C35312" w14:paraId="38D0F053" w14:textId="77777777" w:rsidTr="00A77466">
        <w:tc>
          <w:tcPr>
            <w:tcW w:w="3037" w:type="dxa"/>
            <w:vAlign w:val="center"/>
          </w:tcPr>
          <w:p w14:paraId="4721D437"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Share of economic activity</w:t>
            </w:r>
          </w:p>
        </w:tc>
        <w:tc>
          <w:tcPr>
            <w:tcW w:w="1039" w:type="dxa"/>
            <w:vAlign w:val="center"/>
          </w:tcPr>
          <w:p w14:paraId="77D714D9"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10 %</w:t>
            </w:r>
          </w:p>
        </w:tc>
        <w:tc>
          <w:tcPr>
            <w:tcW w:w="1039" w:type="dxa"/>
            <w:vAlign w:val="center"/>
          </w:tcPr>
          <w:p w14:paraId="1147C4FE"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5 %</w:t>
            </w:r>
          </w:p>
        </w:tc>
        <w:tc>
          <w:tcPr>
            <w:tcW w:w="1039" w:type="dxa"/>
            <w:vAlign w:val="center"/>
          </w:tcPr>
          <w:p w14:paraId="095CF701"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30 %</w:t>
            </w:r>
          </w:p>
        </w:tc>
        <w:tc>
          <w:tcPr>
            <w:tcW w:w="1039" w:type="dxa"/>
            <w:vAlign w:val="center"/>
          </w:tcPr>
          <w:p w14:paraId="4E7C93B7"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15 %</w:t>
            </w:r>
          </w:p>
        </w:tc>
        <w:tc>
          <w:tcPr>
            <w:tcW w:w="1040" w:type="dxa"/>
            <w:vAlign w:val="center"/>
          </w:tcPr>
          <w:p w14:paraId="1C3BAFB8"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20 %</w:t>
            </w:r>
          </w:p>
        </w:tc>
      </w:tr>
      <w:tr w:rsidR="00455124" w:rsidRPr="00C35312" w14:paraId="44EEBCE9" w14:textId="77777777" w:rsidTr="00A77466">
        <w:tc>
          <w:tcPr>
            <w:tcW w:w="3037" w:type="dxa"/>
            <w:vAlign w:val="center"/>
          </w:tcPr>
          <w:p w14:paraId="42A068C2"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Ancillary</w:t>
            </w:r>
          </w:p>
        </w:tc>
        <w:tc>
          <w:tcPr>
            <w:tcW w:w="1039" w:type="dxa"/>
            <w:vAlign w:val="center"/>
          </w:tcPr>
          <w:p w14:paraId="1EDFB4B1"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39" w:type="dxa"/>
            <w:vAlign w:val="center"/>
          </w:tcPr>
          <w:p w14:paraId="0723B874"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39" w:type="dxa"/>
            <w:vAlign w:val="center"/>
          </w:tcPr>
          <w:p w14:paraId="0067FEEE"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39" w:type="dxa"/>
            <w:vAlign w:val="center"/>
          </w:tcPr>
          <w:p w14:paraId="30AB9A32"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40" w:type="dxa"/>
            <w:vAlign w:val="center"/>
          </w:tcPr>
          <w:p w14:paraId="424750AC"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r>
    </w:tbl>
    <w:p w14:paraId="15D21C1A"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p>
    <w:p w14:paraId="388CC2AD" w14:textId="25D6F4A6"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 xml:space="preserve">According to the proposed definition it is clear the state aid rules shall be applied for year 3. (for this year beneficiary shall recover whole financing for 30 % of economic activity). </w:t>
      </w:r>
      <w:r w:rsidR="00036605">
        <w:rPr>
          <w:rFonts w:ascii="Times New Roman" w:hAnsi="Times New Roman" w:cs="Times New Roman"/>
          <w:color w:val="1F497D" w:themeColor="text2"/>
          <w:sz w:val="24"/>
          <w:szCs w:val="24"/>
          <w:lang w:val="en-US"/>
        </w:rPr>
        <w:t>However,</w:t>
      </w:r>
      <w:r w:rsidR="00036605" w:rsidRPr="00C35312">
        <w:rPr>
          <w:rFonts w:ascii="Times New Roman" w:hAnsi="Times New Roman" w:cs="Times New Roman"/>
          <w:color w:val="1F497D" w:themeColor="text2"/>
          <w:sz w:val="24"/>
          <w:szCs w:val="24"/>
          <w:lang w:val="en-US"/>
        </w:rPr>
        <w:t xml:space="preserve"> </w:t>
      </w:r>
      <w:r w:rsidRPr="00C35312">
        <w:rPr>
          <w:rFonts w:ascii="Times New Roman" w:hAnsi="Times New Roman" w:cs="Times New Roman"/>
          <w:color w:val="1F497D" w:themeColor="text2"/>
          <w:sz w:val="24"/>
          <w:szCs w:val="24"/>
          <w:lang w:val="en-US"/>
        </w:rPr>
        <w:t xml:space="preserve">it is not clear whether the State aid rules shall be applied also for years 1. and 2., i.e., for years when the activities were fully ancillary (bellow 20 %). </w:t>
      </w:r>
    </w:p>
    <w:p w14:paraId="0B15274A" w14:textId="0227A754"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We are of an opinion</w:t>
      </w:r>
      <w:r w:rsidR="00036605">
        <w:rPr>
          <w:rFonts w:ascii="Times New Roman" w:hAnsi="Times New Roman" w:cs="Times New Roman"/>
          <w:color w:val="1F497D" w:themeColor="text2"/>
          <w:sz w:val="24"/>
          <w:szCs w:val="24"/>
          <w:lang w:val="en-US"/>
        </w:rPr>
        <w:t xml:space="preserve"> that</w:t>
      </w:r>
      <w:r w:rsidRPr="00C35312">
        <w:rPr>
          <w:rFonts w:ascii="Times New Roman" w:hAnsi="Times New Roman" w:cs="Times New Roman"/>
          <w:color w:val="1F497D" w:themeColor="text2"/>
          <w:sz w:val="24"/>
          <w:szCs w:val="24"/>
          <w:lang w:val="en-US"/>
        </w:rPr>
        <w:t xml:space="preserve"> </w:t>
      </w:r>
      <w:r w:rsidRPr="00C35312">
        <w:rPr>
          <w:rFonts w:ascii="Times New Roman" w:hAnsi="Times New Roman" w:cs="Times New Roman"/>
          <w:b/>
          <w:color w:val="1F497D" w:themeColor="text2"/>
          <w:sz w:val="24"/>
          <w:szCs w:val="24"/>
          <w:lang w:val="en-US"/>
        </w:rPr>
        <w:t>t</w:t>
      </w:r>
      <w:r w:rsidRPr="00C35312">
        <w:rPr>
          <w:rFonts w:ascii="Times New Roman" w:hAnsi="Times New Roman" w:cs="Times New Roman"/>
          <w:b/>
          <w:bCs/>
          <w:color w:val="1F497D" w:themeColor="text2"/>
          <w:sz w:val="24"/>
          <w:szCs w:val="24"/>
          <w:lang w:val="en-US"/>
        </w:rPr>
        <w:t xml:space="preserve">he recovery shall be applied only for the actual year when the threshold was breached (i.e., only year 3.) </w:t>
      </w:r>
      <w:r w:rsidRPr="00C35312">
        <w:rPr>
          <w:rFonts w:ascii="Times New Roman" w:hAnsi="Times New Roman" w:cs="Times New Roman"/>
          <w:color w:val="1F497D" w:themeColor="text2"/>
          <w:sz w:val="24"/>
          <w:szCs w:val="24"/>
          <w:lang w:val="en-US"/>
        </w:rPr>
        <w:t>and</w:t>
      </w:r>
      <w:r w:rsidRPr="00C35312">
        <w:rPr>
          <w:rFonts w:ascii="Times New Roman" w:hAnsi="Times New Roman" w:cs="Times New Roman"/>
          <w:b/>
          <w:bCs/>
          <w:color w:val="1F497D" w:themeColor="text2"/>
          <w:sz w:val="24"/>
          <w:szCs w:val="24"/>
          <w:lang w:val="en-US"/>
        </w:rPr>
        <w:t xml:space="preserve"> </w:t>
      </w:r>
      <w:r w:rsidRPr="00C35312">
        <w:rPr>
          <w:rFonts w:ascii="Times New Roman" w:hAnsi="Times New Roman" w:cs="Times New Roman"/>
          <w:color w:val="1F497D" w:themeColor="text2"/>
          <w:sz w:val="24"/>
          <w:szCs w:val="24"/>
          <w:u w:val="single"/>
          <w:lang w:val="en-US"/>
        </w:rPr>
        <w:t xml:space="preserve">shall not include period when </w:t>
      </w:r>
      <w:r w:rsidR="00036605">
        <w:rPr>
          <w:rFonts w:ascii="Times New Roman" w:hAnsi="Times New Roman" w:cs="Times New Roman"/>
          <w:color w:val="1F497D" w:themeColor="text2"/>
          <w:sz w:val="24"/>
          <w:szCs w:val="24"/>
          <w:u w:val="single"/>
          <w:lang w:val="en-US"/>
        </w:rPr>
        <w:t xml:space="preserve">a </w:t>
      </w:r>
      <w:r w:rsidRPr="00C35312">
        <w:rPr>
          <w:rFonts w:ascii="Times New Roman" w:hAnsi="Times New Roman" w:cs="Times New Roman"/>
          <w:color w:val="1F497D" w:themeColor="text2"/>
          <w:sz w:val="24"/>
          <w:szCs w:val="24"/>
          <w:u w:val="single"/>
          <w:lang w:val="en-US"/>
        </w:rPr>
        <w:t>beneficiary was fully in line with the State aid rules (i.e., years 1. and 2.)</w:t>
      </w:r>
      <w:r w:rsidRPr="00C35312">
        <w:rPr>
          <w:rFonts w:ascii="Times New Roman" w:hAnsi="Times New Roman" w:cs="Times New Roman"/>
          <w:b/>
          <w:bCs/>
          <w:color w:val="1F497D" w:themeColor="text2"/>
          <w:sz w:val="24"/>
          <w:szCs w:val="24"/>
          <w:lang w:val="en-US"/>
        </w:rPr>
        <w:t>.</w:t>
      </w:r>
      <w:r w:rsidRPr="00C35312">
        <w:rPr>
          <w:rFonts w:ascii="Times New Roman" w:hAnsi="Times New Roman" w:cs="Times New Roman"/>
          <w:color w:val="1F497D" w:themeColor="text2"/>
          <w:sz w:val="24"/>
          <w:szCs w:val="24"/>
          <w:lang w:val="en-US"/>
        </w:rPr>
        <w:t xml:space="preserve"> The </w:t>
      </w:r>
      <w:r w:rsidRPr="00C35312">
        <w:rPr>
          <w:rFonts w:ascii="Times New Roman" w:hAnsi="Times New Roman" w:cs="Times New Roman"/>
          <w:color w:val="1F497D" w:themeColor="text2"/>
          <w:sz w:val="24"/>
          <w:szCs w:val="24"/>
          <w:u w:val="single"/>
          <w:lang w:val="en-US"/>
        </w:rPr>
        <w:t xml:space="preserve">recovery shall also not apply </w:t>
      </w:r>
      <w:r w:rsidR="00036605">
        <w:rPr>
          <w:rFonts w:ascii="Times New Roman" w:hAnsi="Times New Roman" w:cs="Times New Roman"/>
          <w:color w:val="1F497D" w:themeColor="text2"/>
          <w:sz w:val="24"/>
          <w:szCs w:val="24"/>
          <w:u w:val="single"/>
          <w:lang w:val="en-US"/>
        </w:rPr>
        <w:t>following</w:t>
      </w:r>
      <w:r w:rsidR="00036605" w:rsidRPr="00C35312">
        <w:rPr>
          <w:rFonts w:ascii="Times New Roman" w:hAnsi="Times New Roman" w:cs="Times New Roman"/>
          <w:color w:val="1F497D" w:themeColor="text2"/>
          <w:sz w:val="24"/>
          <w:szCs w:val="24"/>
          <w:u w:val="single"/>
          <w:lang w:val="en-US"/>
        </w:rPr>
        <w:t xml:space="preserve"> </w:t>
      </w:r>
      <w:r w:rsidRPr="00C35312">
        <w:rPr>
          <w:rFonts w:ascii="Times New Roman" w:hAnsi="Times New Roman" w:cs="Times New Roman"/>
          <w:color w:val="1F497D" w:themeColor="text2"/>
          <w:sz w:val="24"/>
          <w:szCs w:val="24"/>
          <w:u w:val="single"/>
          <w:lang w:val="en-US"/>
        </w:rPr>
        <w:t>years</w:t>
      </w:r>
      <w:r w:rsidRPr="00C35312">
        <w:rPr>
          <w:rFonts w:ascii="Times New Roman" w:hAnsi="Times New Roman" w:cs="Times New Roman"/>
          <w:color w:val="1F497D" w:themeColor="text2"/>
          <w:sz w:val="24"/>
          <w:szCs w:val="24"/>
          <w:lang w:val="en-US"/>
        </w:rPr>
        <w:t xml:space="preserve"> (years 4. and 5.) as the economic activities are again ancillary (below 20 %) these years.</w:t>
      </w:r>
    </w:p>
    <w:p w14:paraId="4590FD73"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p>
    <w:tbl>
      <w:tblPr>
        <w:tblStyle w:val="Mkatabulky"/>
        <w:tblW w:w="8233" w:type="dxa"/>
        <w:tblInd w:w="1072" w:type="dxa"/>
        <w:tblLook w:val="04A0" w:firstRow="1" w:lastRow="0" w:firstColumn="1" w:lastColumn="0" w:noHBand="0" w:noVBand="1"/>
      </w:tblPr>
      <w:tblGrid>
        <w:gridCol w:w="3037"/>
        <w:gridCol w:w="1039"/>
        <w:gridCol w:w="1039"/>
        <w:gridCol w:w="1039"/>
        <w:gridCol w:w="1039"/>
        <w:gridCol w:w="1040"/>
      </w:tblGrid>
      <w:tr w:rsidR="00455124" w:rsidRPr="00C35312" w14:paraId="60B7BC4B" w14:textId="77777777" w:rsidTr="00A77466">
        <w:tc>
          <w:tcPr>
            <w:tcW w:w="3037" w:type="dxa"/>
            <w:vMerge w:val="restart"/>
            <w:vAlign w:val="center"/>
          </w:tcPr>
          <w:p w14:paraId="66580E20"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p>
        </w:tc>
        <w:tc>
          <w:tcPr>
            <w:tcW w:w="5196" w:type="dxa"/>
            <w:gridSpan w:val="5"/>
            <w:vAlign w:val="center"/>
          </w:tcPr>
          <w:p w14:paraId="5B22CA4C"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Year</w:t>
            </w:r>
          </w:p>
        </w:tc>
      </w:tr>
      <w:tr w:rsidR="00455124" w:rsidRPr="00C35312" w14:paraId="7A47CE3B" w14:textId="77777777" w:rsidTr="00A77466">
        <w:tc>
          <w:tcPr>
            <w:tcW w:w="3037" w:type="dxa"/>
            <w:vMerge/>
            <w:vAlign w:val="center"/>
          </w:tcPr>
          <w:p w14:paraId="03BF7EAA"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p>
        </w:tc>
        <w:tc>
          <w:tcPr>
            <w:tcW w:w="1039" w:type="dxa"/>
            <w:vAlign w:val="center"/>
          </w:tcPr>
          <w:p w14:paraId="646AE512"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1.</w:t>
            </w:r>
          </w:p>
        </w:tc>
        <w:tc>
          <w:tcPr>
            <w:tcW w:w="1039" w:type="dxa"/>
            <w:vAlign w:val="center"/>
          </w:tcPr>
          <w:p w14:paraId="73E2CEE9"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2.</w:t>
            </w:r>
          </w:p>
        </w:tc>
        <w:tc>
          <w:tcPr>
            <w:tcW w:w="1039" w:type="dxa"/>
            <w:vAlign w:val="center"/>
          </w:tcPr>
          <w:p w14:paraId="5F28A5A5"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3.</w:t>
            </w:r>
          </w:p>
        </w:tc>
        <w:tc>
          <w:tcPr>
            <w:tcW w:w="1039" w:type="dxa"/>
            <w:vAlign w:val="center"/>
          </w:tcPr>
          <w:p w14:paraId="3567A573"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4.</w:t>
            </w:r>
          </w:p>
        </w:tc>
        <w:tc>
          <w:tcPr>
            <w:tcW w:w="1040" w:type="dxa"/>
            <w:vAlign w:val="center"/>
          </w:tcPr>
          <w:p w14:paraId="644305F1"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5.</w:t>
            </w:r>
          </w:p>
        </w:tc>
      </w:tr>
      <w:tr w:rsidR="00455124" w:rsidRPr="00C35312" w14:paraId="1D7129B0" w14:textId="77777777" w:rsidTr="00A77466">
        <w:tc>
          <w:tcPr>
            <w:tcW w:w="3037" w:type="dxa"/>
            <w:vAlign w:val="center"/>
          </w:tcPr>
          <w:p w14:paraId="2FBFABEA"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Share of economic activity</w:t>
            </w:r>
          </w:p>
        </w:tc>
        <w:tc>
          <w:tcPr>
            <w:tcW w:w="1039" w:type="dxa"/>
            <w:vAlign w:val="center"/>
          </w:tcPr>
          <w:p w14:paraId="6732FADC"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10 %</w:t>
            </w:r>
          </w:p>
        </w:tc>
        <w:tc>
          <w:tcPr>
            <w:tcW w:w="1039" w:type="dxa"/>
            <w:vAlign w:val="center"/>
          </w:tcPr>
          <w:p w14:paraId="29CEB55F"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5 %</w:t>
            </w:r>
          </w:p>
        </w:tc>
        <w:tc>
          <w:tcPr>
            <w:tcW w:w="1039" w:type="dxa"/>
            <w:vAlign w:val="center"/>
          </w:tcPr>
          <w:p w14:paraId="7A10C31E"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30 %</w:t>
            </w:r>
          </w:p>
        </w:tc>
        <w:tc>
          <w:tcPr>
            <w:tcW w:w="1039" w:type="dxa"/>
            <w:vAlign w:val="center"/>
          </w:tcPr>
          <w:p w14:paraId="701A4C48"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15 %</w:t>
            </w:r>
          </w:p>
        </w:tc>
        <w:tc>
          <w:tcPr>
            <w:tcW w:w="1040" w:type="dxa"/>
            <w:vAlign w:val="center"/>
          </w:tcPr>
          <w:p w14:paraId="3BED660F"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20 %</w:t>
            </w:r>
          </w:p>
        </w:tc>
      </w:tr>
      <w:tr w:rsidR="00455124" w:rsidRPr="00C35312" w14:paraId="104DF106" w14:textId="77777777" w:rsidTr="00A77466">
        <w:tc>
          <w:tcPr>
            <w:tcW w:w="3037" w:type="dxa"/>
            <w:vAlign w:val="center"/>
          </w:tcPr>
          <w:p w14:paraId="19590F6B"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Ancillary</w:t>
            </w:r>
          </w:p>
        </w:tc>
        <w:tc>
          <w:tcPr>
            <w:tcW w:w="1039" w:type="dxa"/>
            <w:vAlign w:val="center"/>
          </w:tcPr>
          <w:p w14:paraId="08B1447B"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39" w:type="dxa"/>
            <w:vAlign w:val="center"/>
          </w:tcPr>
          <w:p w14:paraId="139CD689"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39" w:type="dxa"/>
            <w:vAlign w:val="center"/>
          </w:tcPr>
          <w:p w14:paraId="02DF13EC"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39" w:type="dxa"/>
            <w:vAlign w:val="center"/>
          </w:tcPr>
          <w:p w14:paraId="430C0985"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40" w:type="dxa"/>
            <w:vAlign w:val="center"/>
          </w:tcPr>
          <w:p w14:paraId="3FD6036B"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r>
      <w:tr w:rsidR="00455124" w:rsidRPr="00C35312" w14:paraId="2C93C205" w14:textId="77777777" w:rsidTr="00A77466">
        <w:tc>
          <w:tcPr>
            <w:tcW w:w="3037" w:type="dxa"/>
            <w:vAlign w:val="center"/>
          </w:tcPr>
          <w:p w14:paraId="19241BCB"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Recovery</w:t>
            </w:r>
          </w:p>
        </w:tc>
        <w:tc>
          <w:tcPr>
            <w:tcW w:w="1039" w:type="dxa"/>
            <w:vAlign w:val="center"/>
          </w:tcPr>
          <w:p w14:paraId="194AFF75"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39" w:type="dxa"/>
            <w:vAlign w:val="center"/>
          </w:tcPr>
          <w:p w14:paraId="6D36F4A2"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39" w:type="dxa"/>
            <w:vAlign w:val="center"/>
          </w:tcPr>
          <w:p w14:paraId="7053CF7A"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30 %</w:t>
            </w:r>
          </w:p>
        </w:tc>
        <w:tc>
          <w:tcPr>
            <w:tcW w:w="1039" w:type="dxa"/>
            <w:vAlign w:val="center"/>
          </w:tcPr>
          <w:p w14:paraId="5A4B796C"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40" w:type="dxa"/>
            <w:vAlign w:val="center"/>
          </w:tcPr>
          <w:p w14:paraId="1C7E190D"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r>
    </w:tbl>
    <w:p w14:paraId="3B86F96E"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u w:val="single"/>
          <w:lang w:val="en-US"/>
        </w:rPr>
      </w:pPr>
    </w:p>
    <w:p w14:paraId="441BD2F8" w14:textId="3AA61B0C"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u w:val="single"/>
          <w:lang w:val="en-US"/>
        </w:rPr>
        <w:t>The application of recovery for previous years (i.e., before the threshold was breached)</w:t>
      </w:r>
      <w:r w:rsidRPr="00C35312">
        <w:rPr>
          <w:rFonts w:ascii="Times New Roman" w:hAnsi="Times New Roman" w:cs="Times New Roman"/>
          <w:color w:val="1F497D" w:themeColor="text2"/>
          <w:sz w:val="24"/>
          <w:szCs w:val="24"/>
          <w:lang w:val="en-US"/>
        </w:rPr>
        <w:t xml:space="preserve"> would be unnecessary strict for beneficiary (often the share of economic activity depends on factors which are outside of control of beneficiary – e.g., decreasing</w:t>
      </w:r>
      <w:r w:rsidR="00733948">
        <w:rPr>
          <w:rFonts w:ascii="Times New Roman" w:hAnsi="Times New Roman" w:cs="Times New Roman"/>
          <w:color w:val="1F497D" w:themeColor="text2"/>
          <w:sz w:val="24"/>
          <w:szCs w:val="24"/>
          <w:lang w:val="en-US"/>
        </w:rPr>
        <w:t xml:space="preserve"> </w:t>
      </w:r>
      <w:r w:rsidRPr="00C35312">
        <w:rPr>
          <w:rFonts w:ascii="Times New Roman" w:hAnsi="Times New Roman" w:cs="Times New Roman"/>
          <w:color w:val="1F497D" w:themeColor="text2"/>
          <w:sz w:val="24"/>
          <w:szCs w:val="24"/>
          <w:lang w:val="en-US"/>
        </w:rPr>
        <w:t>public budget due to COVID-19 would cause also</w:t>
      </w:r>
      <w:r w:rsidR="00733948">
        <w:rPr>
          <w:rFonts w:ascii="Times New Roman" w:hAnsi="Times New Roman" w:cs="Times New Roman"/>
          <w:color w:val="1F497D" w:themeColor="text2"/>
          <w:sz w:val="24"/>
          <w:szCs w:val="24"/>
          <w:lang w:val="en-US"/>
        </w:rPr>
        <w:t xml:space="preserve"> a drop in </w:t>
      </w:r>
      <w:r w:rsidRPr="00C35312">
        <w:rPr>
          <w:rFonts w:ascii="Times New Roman" w:hAnsi="Times New Roman" w:cs="Times New Roman"/>
          <w:color w:val="1F497D" w:themeColor="text2"/>
          <w:sz w:val="24"/>
          <w:szCs w:val="24"/>
          <w:lang w:val="en-US"/>
        </w:rPr>
        <w:t xml:space="preserve">subsidies for non-economic activities or </w:t>
      </w:r>
      <w:r w:rsidR="00733948">
        <w:rPr>
          <w:rFonts w:ascii="Times New Roman" w:hAnsi="Times New Roman" w:cs="Times New Roman"/>
          <w:color w:val="1F497D" w:themeColor="text2"/>
          <w:sz w:val="24"/>
          <w:szCs w:val="24"/>
          <w:lang w:val="en-US"/>
        </w:rPr>
        <w:t xml:space="preserve">their </w:t>
      </w:r>
      <w:r w:rsidRPr="00C35312">
        <w:rPr>
          <w:rFonts w:ascii="Times New Roman" w:hAnsi="Times New Roman" w:cs="Times New Roman"/>
          <w:color w:val="1F497D" w:themeColor="text2"/>
          <w:sz w:val="24"/>
          <w:szCs w:val="24"/>
          <w:lang w:val="en-US"/>
        </w:rPr>
        <w:t>postponement from current to next year etc.).</w:t>
      </w:r>
    </w:p>
    <w:p w14:paraId="7A793E0B" w14:textId="11685D39"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u w:val="single"/>
          <w:lang w:val="en-US"/>
        </w:rPr>
        <w:t xml:space="preserve">The application of recovery for </w:t>
      </w:r>
      <w:r w:rsidR="00733948">
        <w:rPr>
          <w:rFonts w:ascii="Times New Roman" w:hAnsi="Times New Roman" w:cs="Times New Roman"/>
          <w:color w:val="1F497D" w:themeColor="text2"/>
          <w:sz w:val="24"/>
          <w:szCs w:val="24"/>
          <w:u w:val="single"/>
          <w:lang w:val="en-US"/>
        </w:rPr>
        <w:t>following</w:t>
      </w:r>
      <w:r w:rsidR="00733948" w:rsidRPr="00C35312">
        <w:rPr>
          <w:rFonts w:ascii="Times New Roman" w:hAnsi="Times New Roman" w:cs="Times New Roman"/>
          <w:color w:val="1F497D" w:themeColor="text2"/>
          <w:sz w:val="24"/>
          <w:szCs w:val="24"/>
          <w:u w:val="single"/>
          <w:lang w:val="en-US"/>
        </w:rPr>
        <w:t xml:space="preserve"> </w:t>
      </w:r>
      <w:r w:rsidRPr="00C35312">
        <w:rPr>
          <w:rFonts w:ascii="Times New Roman" w:hAnsi="Times New Roman" w:cs="Times New Roman"/>
          <w:color w:val="1F497D" w:themeColor="text2"/>
          <w:sz w:val="24"/>
          <w:szCs w:val="24"/>
          <w:u w:val="single"/>
          <w:lang w:val="en-US"/>
        </w:rPr>
        <w:t>years</w:t>
      </w:r>
      <w:r w:rsidRPr="00C35312">
        <w:rPr>
          <w:rFonts w:ascii="Times New Roman" w:hAnsi="Times New Roman" w:cs="Times New Roman"/>
          <w:color w:val="1F497D" w:themeColor="text2"/>
          <w:sz w:val="24"/>
          <w:szCs w:val="24"/>
          <w:lang w:val="en-US"/>
        </w:rPr>
        <w:t xml:space="preserve"> (i.e., after the threshold is breached) would cause extraordinary burden for beneficiaries and providers as every one percent of economic activity will need to be recovered. This could have </w:t>
      </w:r>
      <w:r w:rsidRPr="00C35312">
        <w:rPr>
          <w:rFonts w:ascii="Times New Roman" w:hAnsi="Times New Roman" w:cs="Times New Roman"/>
          <w:b/>
          <w:bCs/>
          <w:color w:val="1F497D" w:themeColor="text2"/>
          <w:sz w:val="24"/>
          <w:szCs w:val="24"/>
          <w:lang w:val="en-US"/>
        </w:rPr>
        <w:t>two very negative effects</w:t>
      </w:r>
      <w:r w:rsidRPr="00C35312">
        <w:rPr>
          <w:rFonts w:ascii="Times New Roman" w:hAnsi="Times New Roman" w:cs="Times New Roman"/>
          <w:color w:val="1F497D" w:themeColor="text2"/>
          <w:sz w:val="24"/>
          <w:szCs w:val="24"/>
          <w:lang w:val="en-US"/>
        </w:rPr>
        <w:t xml:space="preserve"> – the beneficiary will be motivated to have zero economic activity (e.g., not providing research infrastructure to any undertakings as any such activity will inevitably lead to recovery of provided aid!) and we can also expect possible legal disputes with beneficiary for each next year of duration of </w:t>
      </w:r>
      <w:r w:rsidR="00733948">
        <w:rPr>
          <w:rFonts w:ascii="Times New Roman" w:hAnsi="Times New Roman" w:cs="Times New Roman"/>
          <w:color w:val="1F497D" w:themeColor="text2"/>
          <w:sz w:val="24"/>
          <w:szCs w:val="24"/>
          <w:lang w:val="en-US"/>
        </w:rPr>
        <w:t xml:space="preserve">the </w:t>
      </w:r>
      <w:r w:rsidRPr="00C35312">
        <w:rPr>
          <w:rFonts w:ascii="Times New Roman" w:hAnsi="Times New Roman" w:cs="Times New Roman"/>
          <w:color w:val="1F497D" w:themeColor="text2"/>
          <w:sz w:val="24"/>
          <w:szCs w:val="24"/>
          <w:lang w:val="en-US"/>
        </w:rPr>
        <w:t>project.</w:t>
      </w:r>
    </w:p>
    <w:p w14:paraId="184E36EA" w14:textId="756F2AB9"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For these reasons we are of an opinion</w:t>
      </w:r>
      <w:r w:rsidR="00733948">
        <w:rPr>
          <w:rFonts w:ascii="Times New Roman" w:hAnsi="Times New Roman" w:cs="Times New Roman"/>
          <w:color w:val="1F497D" w:themeColor="text2"/>
          <w:sz w:val="24"/>
          <w:szCs w:val="24"/>
          <w:lang w:val="en-US"/>
        </w:rPr>
        <w:t xml:space="preserve"> that</w:t>
      </w:r>
      <w:r w:rsidRPr="00C35312">
        <w:rPr>
          <w:rFonts w:ascii="Times New Roman" w:hAnsi="Times New Roman" w:cs="Times New Roman"/>
          <w:color w:val="1F497D" w:themeColor="text2"/>
          <w:sz w:val="24"/>
          <w:szCs w:val="24"/>
          <w:lang w:val="en-US"/>
        </w:rPr>
        <w:t xml:space="preserve"> </w:t>
      </w:r>
      <w:r w:rsidRPr="00C35312">
        <w:rPr>
          <w:rFonts w:ascii="Times New Roman" w:hAnsi="Times New Roman" w:cs="Times New Roman"/>
          <w:b/>
          <w:color w:val="1F497D" w:themeColor="text2"/>
          <w:sz w:val="24"/>
          <w:szCs w:val="24"/>
          <w:lang w:val="en-US"/>
        </w:rPr>
        <w:t>t</w:t>
      </w:r>
      <w:r w:rsidRPr="00C35312">
        <w:rPr>
          <w:rFonts w:ascii="Times New Roman" w:hAnsi="Times New Roman" w:cs="Times New Roman"/>
          <w:b/>
          <w:bCs/>
          <w:color w:val="1F497D" w:themeColor="text2"/>
          <w:sz w:val="24"/>
          <w:szCs w:val="24"/>
          <w:lang w:val="en-US"/>
        </w:rPr>
        <w:t xml:space="preserve">he recovery shall be applied only for the actual year when the threshold is breached </w:t>
      </w:r>
      <w:r w:rsidRPr="00C35312">
        <w:rPr>
          <w:rFonts w:ascii="Times New Roman" w:hAnsi="Times New Roman" w:cs="Times New Roman"/>
          <w:color w:val="1F497D" w:themeColor="text2"/>
          <w:sz w:val="24"/>
          <w:szCs w:val="24"/>
          <w:lang w:val="en-US"/>
        </w:rPr>
        <w:t>(only year 3. in the example)</w:t>
      </w:r>
    </w:p>
    <w:p w14:paraId="0B9D7FDC"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p>
    <w:p w14:paraId="343ECE06" w14:textId="6BCD2095"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 xml:space="preserve">We would </w:t>
      </w:r>
      <w:r w:rsidR="00733948" w:rsidRPr="00C35312">
        <w:rPr>
          <w:rFonts w:ascii="Times New Roman" w:hAnsi="Times New Roman" w:cs="Times New Roman"/>
          <w:color w:val="1F497D" w:themeColor="text2"/>
          <w:sz w:val="24"/>
          <w:szCs w:val="24"/>
          <w:lang w:val="en-US"/>
        </w:rPr>
        <w:t xml:space="preserve">also </w:t>
      </w:r>
      <w:r w:rsidRPr="00C35312">
        <w:rPr>
          <w:rFonts w:ascii="Times New Roman" w:hAnsi="Times New Roman" w:cs="Times New Roman"/>
          <w:color w:val="1F497D" w:themeColor="text2"/>
          <w:sz w:val="24"/>
          <w:szCs w:val="24"/>
          <w:lang w:val="en-US"/>
        </w:rPr>
        <w:t xml:space="preserve">like to ask for a clarification </w:t>
      </w:r>
      <w:r w:rsidRPr="00C35312">
        <w:rPr>
          <w:rFonts w:ascii="Times New Roman" w:hAnsi="Times New Roman" w:cs="Times New Roman"/>
          <w:b/>
          <w:bCs/>
          <w:color w:val="1F497D" w:themeColor="text2"/>
          <w:sz w:val="24"/>
          <w:szCs w:val="24"/>
          <w:lang w:val="en-US"/>
        </w:rPr>
        <w:t>how to calculate the amount</w:t>
      </w:r>
      <w:r w:rsidRPr="00C35312">
        <w:rPr>
          <w:rFonts w:ascii="Times New Roman" w:hAnsi="Times New Roman" w:cs="Times New Roman"/>
          <w:color w:val="1F497D" w:themeColor="text2"/>
          <w:sz w:val="24"/>
          <w:szCs w:val="24"/>
          <w:lang w:val="en-US"/>
        </w:rPr>
        <w:t xml:space="preserve"> which shall be recovered, especially for the aid which is provided for a one-time investment at the beginning of the project. It is not clear whether the recovery shall be related to i) total aid, ii) aid for particular year or iii) expenses which were supported.</w:t>
      </w:r>
    </w:p>
    <w:p w14:paraId="6872915F"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Again, we could demonstrate this question with the example of investment aid (a project shall be carried out for 10 years, a grant was 1.000 EUR, investment costs were 1.000 EUR and depreciation period was 20 years).</w:t>
      </w:r>
    </w:p>
    <w:p w14:paraId="0E3FD783"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p>
    <w:tbl>
      <w:tblPr>
        <w:tblStyle w:val="Mkatabulky"/>
        <w:tblW w:w="8233" w:type="dxa"/>
        <w:tblInd w:w="1072" w:type="dxa"/>
        <w:tblLook w:val="04A0" w:firstRow="1" w:lastRow="0" w:firstColumn="1" w:lastColumn="0" w:noHBand="0" w:noVBand="1"/>
      </w:tblPr>
      <w:tblGrid>
        <w:gridCol w:w="3037"/>
        <w:gridCol w:w="1039"/>
        <w:gridCol w:w="1039"/>
        <w:gridCol w:w="1039"/>
        <w:gridCol w:w="1039"/>
        <w:gridCol w:w="1040"/>
      </w:tblGrid>
      <w:tr w:rsidR="00455124" w:rsidRPr="00C35312" w14:paraId="2068A2E8" w14:textId="77777777" w:rsidTr="00A77466">
        <w:tc>
          <w:tcPr>
            <w:tcW w:w="3037" w:type="dxa"/>
            <w:vMerge w:val="restart"/>
            <w:vAlign w:val="center"/>
          </w:tcPr>
          <w:p w14:paraId="423B6294"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p>
        </w:tc>
        <w:tc>
          <w:tcPr>
            <w:tcW w:w="5196" w:type="dxa"/>
            <w:gridSpan w:val="5"/>
            <w:vAlign w:val="center"/>
          </w:tcPr>
          <w:p w14:paraId="7B41A51F"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Year</w:t>
            </w:r>
          </w:p>
        </w:tc>
      </w:tr>
      <w:tr w:rsidR="00455124" w:rsidRPr="00C35312" w14:paraId="3AB21F8F" w14:textId="77777777" w:rsidTr="00A77466">
        <w:tc>
          <w:tcPr>
            <w:tcW w:w="3037" w:type="dxa"/>
            <w:vMerge/>
            <w:vAlign w:val="center"/>
          </w:tcPr>
          <w:p w14:paraId="693E4F82" w14:textId="77777777" w:rsidR="00455124" w:rsidRPr="00C35312" w:rsidRDefault="00455124" w:rsidP="00D91D61">
            <w:pPr>
              <w:pStyle w:val="Odstavecseseznamem"/>
              <w:spacing w:after="240"/>
              <w:ind w:left="0"/>
              <w:jc w:val="center"/>
              <w:rPr>
                <w:rFonts w:ascii="Times New Roman" w:hAnsi="Times New Roman" w:cs="Times New Roman"/>
                <w:b/>
                <w:bCs/>
                <w:color w:val="1F497D" w:themeColor="text2"/>
                <w:lang w:val="en-US"/>
              </w:rPr>
            </w:pPr>
          </w:p>
        </w:tc>
        <w:tc>
          <w:tcPr>
            <w:tcW w:w="1039" w:type="dxa"/>
            <w:vAlign w:val="center"/>
          </w:tcPr>
          <w:p w14:paraId="167D1508"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1.</w:t>
            </w:r>
          </w:p>
        </w:tc>
        <w:tc>
          <w:tcPr>
            <w:tcW w:w="1039" w:type="dxa"/>
            <w:vAlign w:val="center"/>
          </w:tcPr>
          <w:p w14:paraId="579C8F79"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2.</w:t>
            </w:r>
          </w:p>
        </w:tc>
        <w:tc>
          <w:tcPr>
            <w:tcW w:w="1039" w:type="dxa"/>
            <w:vAlign w:val="center"/>
          </w:tcPr>
          <w:p w14:paraId="2C38FE4F"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3.</w:t>
            </w:r>
          </w:p>
        </w:tc>
        <w:tc>
          <w:tcPr>
            <w:tcW w:w="1039" w:type="dxa"/>
            <w:vAlign w:val="center"/>
          </w:tcPr>
          <w:p w14:paraId="2180DF03"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4.</w:t>
            </w:r>
          </w:p>
        </w:tc>
        <w:tc>
          <w:tcPr>
            <w:tcW w:w="1040" w:type="dxa"/>
            <w:vAlign w:val="center"/>
          </w:tcPr>
          <w:p w14:paraId="67F84669" w14:textId="77777777" w:rsidR="00455124" w:rsidRPr="00C35312" w:rsidRDefault="00455124" w:rsidP="00D91D61">
            <w:pPr>
              <w:pStyle w:val="Odstavecseseznamem"/>
              <w:ind w:left="0"/>
              <w:jc w:val="center"/>
              <w:rPr>
                <w:rFonts w:ascii="Times New Roman" w:hAnsi="Times New Roman" w:cs="Times New Roman"/>
                <w:b/>
                <w:bCs/>
                <w:color w:val="1F497D" w:themeColor="text2"/>
                <w:lang w:val="en-US"/>
              </w:rPr>
            </w:pPr>
            <w:r w:rsidRPr="00C35312">
              <w:rPr>
                <w:rFonts w:ascii="Times New Roman" w:hAnsi="Times New Roman" w:cs="Times New Roman"/>
                <w:b/>
                <w:bCs/>
                <w:color w:val="1F497D" w:themeColor="text2"/>
                <w:lang w:val="en-US"/>
              </w:rPr>
              <w:t>5.</w:t>
            </w:r>
          </w:p>
        </w:tc>
      </w:tr>
      <w:tr w:rsidR="00455124" w:rsidRPr="00C35312" w14:paraId="5A4DD8C7" w14:textId="77777777" w:rsidTr="00A77466">
        <w:tc>
          <w:tcPr>
            <w:tcW w:w="3037" w:type="dxa"/>
            <w:vAlign w:val="center"/>
          </w:tcPr>
          <w:p w14:paraId="5E717CA0"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Share of economic activity</w:t>
            </w:r>
          </w:p>
        </w:tc>
        <w:tc>
          <w:tcPr>
            <w:tcW w:w="1039" w:type="dxa"/>
            <w:vAlign w:val="center"/>
          </w:tcPr>
          <w:p w14:paraId="42C6F17F"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10 %</w:t>
            </w:r>
          </w:p>
        </w:tc>
        <w:tc>
          <w:tcPr>
            <w:tcW w:w="1039" w:type="dxa"/>
            <w:vAlign w:val="center"/>
          </w:tcPr>
          <w:p w14:paraId="652B7A23"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5 %</w:t>
            </w:r>
          </w:p>
        </w:tc>
        <w:tc>
          <w:tcPr>
            <w:tcW w:w="1039" w:type="dxa"/>
            <w:vAlign w:val="center"/>
          </w:tcPr>
          <w:p w14:paraId="4FF98B39"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30 %</w:t>
            </w:r>
          </w:p>
        </w:tc>
        <w:tc>
          <w:tcPr>
            <w:tcW w:w="1039" w:type="dxa"/>
            <w:vAlign w:val="center"/>
          </w:tcPr>
          <w:p w14:paraId="335EE2DF"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15 %</w:t>
            </w:r>
          </w:p>
        </w:tc>
        <w:tc>
          <w:tcPr>
            <w:tcW w:w="1040" w:type="dxa"/>
            <w:vAlign w:val="center"/>
          </w:tcPr>
          <w:p w14:paraId="5A3264B2"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20 %</w:t>
            </w:r>
          </w:p>
        </w:tc>
      </w:tr>
      <w:tr w:rsidR="00455124" w:rsidRPr="00C35312" w14:paraId="011A0E80" w14:textId="77777777" w:rsidTr="00A77466">
        <w:tc>
          <w:tcPr>
            <w:tcW w:w="3037" w:type="dxa"/>
            <w:vAlign w:val="center"/>
          </w:tcPr>
          <w:p w14:paraId="77823B82"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Ancillary</w:t>
            </w:r>
          </w:p>
        </w:tc>
        <w:tc>
          <w:tcPr>
            <w:tcW w:w="1039" w:type="dxa"/>
            <w:vAlign w:val="center"/>
          </w:tcPr>
          <w:p w14:paraId="5A31D5AC"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39" w:type="dxa"/>
            <w:vAlign w:val="center"/>
          </w:tcPr>
          <w:p w14:paraId="44DF139B"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39" w:type="dxa"/>
            <w:vAlign w:val="center"/>
          </w:tcPr>
          <w:p w14:paraId="3CFFFF45"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39" w:type="dxa"/>
            <w:vAlign w:val="center"/>
          </w:tcPr>
          <w:p w14:paraId="43F0CB5D"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c>
          <w:tcPr>
            <w:tcW w:w="1040" w:type="dxa"/>
            <w:vAlign w:val="center"/>
          </w:tcPr>
          <w:p w14:paraId="07B68BB3"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yes</w:t>
            </w:r>
          </w:p>
        </w:tc>
      </w:tr>
      <w:tr w:rsidR="00455124" w:rsidRPr="00C35312" w14:paraId="07BF3638" w14:textId="77777777" w:rsidTr="00A77466">
        <w:tc>
          <w:tcPr>
            <w:tcW w:w="3037" w:type="dxa"/>
            <w:vAlign w:val="center"/>
          </w:tcPr>
          <w:p w14:paraId="5FAAE804"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Recovery</w:t>
            </w:r>
          </w:p>
        </w:tc>
        <w:tc>
          <w:tcPr>
            <w:tcW w:w="1039" w:type="dxa"/>
            <w:vAlign w:val="center"/>
          </w:tcPr>
          <w:p w14:paraId="3A93BF0A"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39" w:type="dxa"/>
            <w:vAlign w:val="center"/>
          </w:tcPr>
          <w:p w14:paraId="5114C2EA"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39" w:type="dxa"/>
            <w:vAlign w:val="center"/>
          </w:tcPr>
          <w:p w14:paraId="24867482"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30 %</w:t>
            </w:r>
          </w:p>
        </w:tc>
        <w:tc>
          <w:tcPr>
            <w:tcW w:w="1039" w:type="dxa"/>
            <w:vAlign w:val="center"/>
          </w:tcPr>
          <w:p w14:paraId="55306F79"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c>
          <w:tcPr>
            <w:tcW w:w="1040" w:type="dxa"/>
            <w:vAlign w:val="center"/>
          </w:tcPr>
          <w:p w14:paraId="3E316367"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no</w:t>
            </w:r>
          </w:p>
        </w:tc>
      </w:tr>
      <w:tr w:rsidR="00455124" w:rsidRPr="00C35312" w14:paraId="6A404D1F" w14:textId="77777777" w:rsidTr="00A77466">
        <w:tc>
          <w:tcPr>
            <w:tcW w:w="3037" w:type="dxa"/>
            <w:vAlign w:val="center"/>
          </w:tcPr>
          <w:p w14:paraId="4D8FC6FA"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i) of total aid (1.000)</w:t>
            </w:r>
          </w:p>
        </w:tc>
        <w:tc>
          <w:tcPr>
            <w:tcW w:w="1039" w:type="dxa"/>
            <w:vAlign w:val="center"/>
          </w:tcPr>
          <w:p w14:paraId="1FD14D59"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39" w:type="dxa"/>
            <w:vAlign w:val="center"/>
          </w:tcPr>
          <w:p w14:paraId="3B9111B8"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39" w:type="dxa"/>
            <w:vAlign w:val="center"/>
          </w:tcPr>
          <w:p w14:paraId="47619723"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300</w:t>
            </w:r>
          </w:p>
        </w:tc>
        <w:tc>
          <w:tcPr>
            <w:tcW w:w="1039" w:type="dxa"/>
            <w:vAlign w:val="center"/>
          </w:tcPr>
          <w:p w14:paraId="05EFE4A6"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40" w:type="dxa"/>
            <w:vAlign w:val="center"/>
          </w:tcPr>
          <w:p w14:paraId="5F2359FE"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r>
      <w:tr w:rsidR="00455124" w:rsidRPr="00C35312" w14:paraId="35A3C9DC" w14:textId="77777777" w:rsidTr="00A77466">
        <w:tc>
          <w:tcPr>
            <w:tcW w:w="3037" w:type="dxa"/>
            <w:vAlign w:val="center"/>
          </w:tcPr>
          <w:p w14:paraId="3FDB9506"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 xml:space="preserve">ii) of aid for particular year </w:t>
            </w:r>
          </w:p>
          <w:p w14:paraId="65F0DD32"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(100 = 1.000 / 10 years)</w:t>
            </w:r>
          </w:p>
        </w:tc>
        <w:tc>
          <w:tcPr>
            <w:tcW w:w="1039" w:type="dxa"/>
            <w:vAlign w:val="center"/>
          </w:tcPr>
          <w:p w14:paraId="6462B515"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39" w:type="dxa"/>
            <w:vAlign w:val="center"/>
          </w:tcPr>
          <w:p w14:paraId="39C9D260"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39" w:type="dxa"/>
            <w:vAlign w:val="center"/>
          </w:tcPr>
          <w:p w14:paraId="0E988E5C"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30</w:t>
            </w:r>
          </w:p>
        </w:tc>
        <w:tc>
          <w:tcPr>
            <w:tcW w:w="1039" w:type="dxa"/>
            <w:vAlign w:val="center"/>
          </w:tcPr>
          <w:p w14:paraId="0D9A1EF7"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40" w:type="dxa"/>
            <w:vAlign w:val="center"/>
          </w:tcPr>
          <w:p w14:paraId="6CA29E67"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r>
      <w:tr w:rsidR="00455124" w:rsidRPr="00C35312" w14:paraId="10BFB103" w14:textId="77777777" w:rsidTr="00A77466">
        <w:tc>
          <w:tcPr>
            <w:tcW w:w="3037" w:type="dxa"/>
            <w:vAlign w:val="center"/>
          </w:tcPr>
          <w:p w14:paraId="6783BAE3"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 xml:space="preserve">iii) of depreciation costs </w:t>
            </w:r>
          </w:p>
          <w:p w14:paraId="43A5789F" w14:textId="77777777" w:rsidR="00455124" w:rsidRPr="00C35312" w:rsidRDefault="00455124" w:rsidP="00D91D61">
            <w:pPr>
              <w:pStyle w:val="Odstavecseseznamem"/>
              <w:spacing w:after="240"/>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(50 = 1.000 / 20 years)*</w:t>
            </w:r>
          </w:p>
        </w:tc>
        <w:tc>
          <w:tcPr>
            <w:tcW w:w="1039" w:type="dxa"/>
            <w:vAlign w:val="center"/>
          </w:tcPr>
          <w:p w14:paraId="3E1143A7"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39" w:type="dxa"/>
            <w:vAlign w:val="center"/>
          </w:tcPr>
          <w:p w14:paraId="375D39FB"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39" w:type="dxa"/>
            <w:vAlign w:val="center"/>
          </w:tcPr>
          <w:p w14:paraId="0E8623A2"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15</w:t>
            </w:r>
          </w:p>
        </w:tc>
        <w:tc>
          <w:tcPr>
            <w:tcW w:w="1039" w:type="dxa"/>
            <w:vAlign w:val="center"/>
          </w:tcPr>
          <w:p w14:paraId="4B11C256"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c>
          <w:tcPr>
            <w:tcW w:w="1040" w:type="dxa"/>
            <w:vAlign w:val="center"/>
          </w:tcPr>
          <w:p w14:paraId="035937D6" w14:textId="77777777" w:rsidR="00455124" w:rsidRPr="00C35312" w:rsidRDefault="00455124" w:rsidP="00D91D61">
            <w:pPr>
              <w:pStyle w:val="Odstavecseseznamem"/>
              <w:ind w:left="0"/>
              <w:jc w:val="center"/>
              <w:rPr>
                <w:rFonts w:ascii="Times New Roman" w:hAnsi="Times New Roman" w:cs="Times New Roman"/>
                <w:color w:val="1F497D" w:themeColor="text2"/>
                <w:lang w:val="en-US"/>
              </w:rPr>
            </w:pPr>
            <w:r w:rsidRPr="00C35312">
              <w:rPr>
                <w:rFonts w:ascii="Times New Roman" w:hAnsi="Times New Roman" w:cs="Times New Roman"/>
                <w:color w:val="1F497D" w:themeColor="text2"/>
                <w:lang w:val="en-US"/>
              </w:rPr>
              <w:t>0</w:t>
            </w:r>
          </w:p>
        </w:tc>
      </w:tr>
    </w:tbl>
    <w:p w14:paraId="24F67045" w14:textId="77777777"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 In this example we suppose the depreciation period is 20 years, i.e., depreciation for each year is 50.</w:t>
      </w:r>
    </w:p>
    <w:p w14:paraId="34C210DE" w14:textId="77777777" w:rsidR="00B2220C" w:rsidRDefault="00B2220C" w:rsidP="00D91D61">
      <w:pPr>
        <w:pStyle w:val="Odstavecseseznamem"/>
        <w:spacing w:after="240"/>
        <w:ind w:left="1072"/>
        <w:jc w:val="both"/>
        <w:rPr>
          <w:rFonts w:ascii="Times New Roman" w:hAnsi="Times New Roman" w:cs="Times New Roman"/>
          <w:color w:val="1F497D" w:themeColor="text2"/>
          <w:sz w:val="24"/>
          <w:szCs w:val="24"/>
          <w:lang w:val="en-US"/>
        </w:rPr>
      </w:pPr>
    </w:p>
    <w:p w14:paraId="68BC2388" w14:textId="3767DBE8" w:rsidR="00455124" w:rsidRPr="00C35312" w:rsidRDefault="00455124" w:rsidP="00D91D61">
      <w:pPr>
        <w:pStyle w:val="Odstavecseseznamem"/>
        <w:spacing w:after="240"/>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Note: we are of an opinion the recovery of 30 % of total aid (case i) will be in breach of State aid rules as the recovery covers also funding of non-economic activities (please notice that the total recovery is 30 % of investment costs but average of total economic activity of the investment for five years is only 16 %). Thus, the difference (14%) is apparently recovered from non-economic activity and shall not be recovered.</w:t>
      </w:r>
    </w:p>
    <w:p w14:paraId="14ABFC83" w14:textId="77777777" w:rsidR="00681D63" w:rsidRPr="00C35312" w:rsidRDefault="00681D63" w:rsidP="00D91D61">
      <w:pPr>
        <w:pStyle w:val="Odstavecseseznamem"/>
        <w:spacing w:after="240"/>
        <w:ind w:left="1072"/>
        <w:jc w:val="both"/>
        <w:rPr>
          <w:rFonts w:ascii="Times New Roman" w:hAnsi="Times New Roman" w:cs="Times New Roman"/>
          <w:color w:val="1F497D" w:themeColor="text2"/>
          <w:sz w:val="24"/>
          <w:szCs w:val="24"/>
          <w:lang w:val="en-US"/>
        </w:rPr>
      </w:pPr>
    </w:p>
    <w:p w14:paraId="2502FAD8" w14:textId="77777777" w:rsidR="00681D63" w:rsidRPr="00C35312" w:rsidRDefault="00681D63" w:rsidP="00D91D61">
      <w:pPr>
        <w:pStyle w:val="Odstavecseseznamem"/>
        <w:numPr>
          <w:ilvl w:val="0"/>
          <w:numId w:val="7"/>
        </w:numPr>
        <w:ind w:left="1354" w:firstLine="0"/>
        <w:jc w:val="both"/>
        <w:rPr>
          <w:rFonts w:ascii="Times New Roman" w:hAnsi="Times New Roman" w:cs="Times New Roman"/>
          <w:color w:val="1F497D" w:themeColor="text2"/>
          <w:sz w:val="24"/>
          <w:szCs w:val="24"/>
          <w:lang w:val="en-US"/>
        </w:rPr>
      </w:pPr>
      <w:r w:rsidRPr="00C35312">
        <w:rPr>
          <w:rFonts w:ascii="Times New Roman" w:hAnsi="Times New Roman" w:cs="Times New Roman"/>
          <w:b/>
          <w:color w:val="1F497D" w:themeColor="text2"/>
          <w:sz w:val="24"/>
          <w:szCs w:val="24"/>
          <w:lang w:val="en-US"/>
        </w:rPr>
        <w:t>point 22 – claw-back mechanism for ancillary economic activities</w:t>
      </w:r>
    </w:p>
    <w:p w14:paraId="7E5DEE5B" w14:textId="77777777" w:rsidR="00681D63" w:rsidRPr="00C35312" w:rsidRDefault="00681D63" w:rsidP="00D91D61">
      <w:pPr>
        <w:pStyle w:val="Odstavecseseznamem"/>
        <w:ind w:left="1072"/>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We propose to establish claw-back mechanism for the financing of research organisations/infrastructures as it is already in the Article 26 par. 7 of the GBER for the research infrastructure. The current claw-back mechanism in the GBER can be used only for research infrastructure and is limited only for cases which are provided under the GBER. Contrary, the financing of the research organisations is usually provided outside of the State aid rules (non-economic activities) and no GBER is applied at the time of granting.</w:t>
      </w:r>
    </w:p>
    <w:p w14:paraId="748E1A9B" w14:textId="77777777" w:rsidR="00681D63" w:rsidRDefault="00681D63" w:rsidP="00D91D61">
      <w:pPr>
        <w:pStyle w:val="Odstavecseseznamem"/>
        <w:spacing w:after="240"/>
        <w:ind w:left="1072"/>
        <w:jc w:val="both"/>
        <w:rPr>
          <w:rFonts w:ascii="Times New Roman" w:hAnsi="Times New Roman" w:cs="Times New Roman"/>
          <w:color w:val="1F497D" w:themeColor="text2"/>
          <w:sz w:val="24"/>
          <w:szCs w:val="24"/>
          <w:lang w:val="en-US"/>
        </w:rPr>
      </w:pPr>
    </w:p>
    <w:p w14:paraId="0A9FAEC3" w14:textId="77777777" w:rsidR="003C38FD" w:rsidRDefault="00624076" w:rsidP="00D91D61">
      <w:pPr>
        <w:pStyle w:val="Odstavecseseznamem"/>
        <w:spacing w:after="240"/>
        <w:ind w:left="1496"/>
        <w:jc w:val="center"/>
        <w:rPr>
          <w:rFonts w:ascii="Times New Roman" w:hAnsi="Times New Roman" w:cs="Times New Roman"/>
          <w:color w:val="1F497D" w:themeColor="text2"/>
          <w:sz w:val="24"/>
          <w:szCs w:val="24"/>
          <w:lang w:val="en-US"/>
        </w:rPr>
      </w:pPr>
      <w:r>
        <w:rPr>
          <w:rFonts w:ascii="Times New Roman" w:hAnsi="Times New Roman" w:cs="Times New Roman"/>
          <w:color w:val="1F497D" w:themeColor="text2"/>
          <w:sz w:val="24"/>
          <w:szCs w:val="24"/>
          <w:lang w:val="en-US"/>
        </w:rPr>
        <w:t>***</w:t>
      </w:r>
    </w:p>
    <w:p w14:paraId="2B002B75" w14:textId="3DDC1A11" w:rsidR="00624076" w:rsidRDefault="00624076" w:rsidP="00D91D61">
      <w:pPr>
        <w:pStyle w:val="Default"/>
        <w:ind w:left="1416"/>
        <w:jc w:val="both"/>
        <w:rPr>
          <w:rFonts w:ascii="Times New Roman" w:hAnsi="Times New Roman" w:cs="Times New Roman"/>
          <w:i/>
          <w:color w:val="1F497D" w:themeColor="text2"/>
          <w:lang w:val="en-US"/>
        </w:rPr>
      </w:pPr>
      <w:r>
        <w:rPr>
          <w:rFonts w:ascii="Times New Roman" w:hAnsi="Times New Roman" w:cs="Times New Roman"/>
          <w:i/>
          <w:color w:val="1F497D" w:themeColor="text2"/>
          <w:lang w:val="en-US"/>
        </w:rPr>
        <w:t>More details to a freedom in how to evaluate the capacity of ancillary activities:</w:t>
      </w:r>
    </w:p>
    <w:p w14:paraId="3FE0CF66" w14:textId="77777777" w:rsidR="004228C8" w:rsidRPr="00C35312" w:rsidRDefault="004228C8" w:rsidP="00D91D61">
      <w:pPr>
        <w:pStyle w:val="Default"/>
        <w:ind w:left="1416"/>
        <w:jc w:val="both"/>
        <w:rPr>
          <w:rFonts w:ascii="Times New Roman" w:hAnsi="Times New Roman" w:cs="Times New Roman"/>
          <w:i/>
          <w:color w:val="1F497D" w:themeColor="text2"/>
          <w:lang w:val="en-US"/>
        </w:rPr>
      </w:pPr>
    </w:p>
    <w:p w14:paraId="408FFF52" w14:textId="4871E7A7" w:rsidR="00624076" w:rsidRPr="00427969" w:rsidRDefault="00624076" w:rsidP="00D91D61">
      <w:pPr>
        <w:pStyle w:val="Default"/>
        <w:ind w:left="992"/>
        <w:jc w:val="both"/>
        <w:rPr>
          <w:rFonts w:ascii="Times New Roman" w:hAnsi="Times New Roman" w:cs="Times New Roman"/>
          <w:color w:val="1F497D" w:themeColor="text2"/>
          <w:lang w:val="en-US"/>
        </w:rPr>
      </w:pPr>
      <w:r w:rsidRPr="00C35312">
        <w:rPr>
          <w:rFonts w:ascii="Times New Roman" w:hAnsi="Times New Roman" w:cs="Times New Roman"/>
          <w:i/>
          <w:color w:val="1F497D" w:themeColor="text2"/>
          <w:lang w:val="en-US"/>
        </w:rPr>
        <w:tab/>
      </w:r>
      <w:r w:rsidRPr="00427969">
        <w:rPr>
          <w:rFonts w:ascii="Times New Roman" w:hAnsi="Times New Roman" w:cs="Times New Roman"/>
          <w:color w:val="1F497D" w:themeColor="text2"/>
          <w:lang w:val="en-US"/>
        </w:rPr>
        <w:t xml:space="preserve">Where a research organization or research infrastructure is used for both economic and non-economic activities, public funding falls under State aid rules only insofar as it covers costs linked to the economic activities. Where the research organization or research infrastructure is used almost exclusively for a non-economic activity, its funding may fall outside state aid rules in its entirety, provided that the economic use remains purely ancillary, that is to say corresponds to an activity which is directly related to and necessary for the operation of the research organization or research infrastructure or intrinsically linked to its main non-economic use, and which is limited in scope. For the purposes of this framework, the Commission will consider this to be the case where the economic activities consume exactly the same inputs (such as material, equipment, labor and fixed capital) as the non-economic activities </w:t>
      </w:r>
      <w:r w:rsidRPr="00427969">
        <w:rPr>
          <w:rFonts w:ascii="Times New Roman" w:hAnsi="Times New Roman" w:cs="Times New Roman"/>
          <w:color w:val="1F497D" w:themeColor="text2"/>
          <w:u w:val="single"/>
          <w:lang w:val="en-US"/>
        </w:rPr>
        <w:t>and the capacity allocated each year to such economic activities does not exceed approx. 20 % of the relevant entity's overall annual capacity where it should decide on its own how to evaluate its capacity and within which time scale.</w:t>
      </w:r>
      <w:r w:rsidRPr="00427969">
        <w:rPr>
          <w:rFonts w:ascii="Times New Roman" w:hAnsi="Times New Roman" w:cs="Times New Roman"/>
          <w:color w:val="1F497D" w:themeColor="text2"/>
          <w:lang w:val="en-US"/>
        </w:rPr>
        <w:t xml:space="preserve"> In case </w:t>
      </w:r>
      <w:r w:rsidRPr="00427969">
        <w:rPr>
          <w:rFonts w:ascii="Times New Roman" w:hAnsi="Times New Roman" w:cs="Times New Roman"/>
          <w:color w:val="1F497D" w:themeColor="text2"/>
          <w:lang w:val="en-US"/>
        </w:rPr>
        <w:lastRenderedPageBreak/>
        <w:t>the research infrastructure or the research organization increases its economic activity so that it cannot be considered as ancillary, the public funding of the whole economic activity will fall under State aid rules.</w:t>
      </w:r>
    </w:p>
    <w:p w14:paraId="6F42C221" w14:textId="77777777" w:rsidR="00624076" w:rsidRPr="00C35312" w:rsidRDefault="00624076" w:rsidP="00D91D61">
      <w:pPr>
        <w:pStyle w:val="Default"/>
        <w:ind w:left="992"/>
        <w:jc w:val="both"/>
        <w:rPr>
          <w:rFonts w:ascii="Times New Roman" w:hAnsi="Times New Roman" w:cs="Times New Roman"/>
          <w:i/>
          <w:color w:val="1F497D" w:themeColor="text2"/>
          <w:lang w:val="en-US"/>
        </w:rPr>
      </w:pPr>
    </w:p>
    <w:p w14:paraId="6F1E67EB" w14:textId="0AFE524C" w:rsidR="00624076" w:rsidRPr="00CB7CFF" w:rsidRDefault="00624076" w:rsidP="00D91D61">
      <w:pPr>
        <w:pStyle w:val="Default"/>
        <w:ind w:left="992"/>
        <w:jc w:val="both"/>
        <w:rPr>
          <w:rFonts w:ascii="Times New Roman" w:hAnsi="Times New Roman" w:cs="Times New Roman"/>
          <w:color w:val="1F497D" w:themeColor="text2"/>
          <w:lang w:val="en-US"/>
        </w:rPr>
      </w:pPr>
      <w:r w:rsidRPr="00CB7CFF">
        <w:rPr>
          <w:rFonts w:ascii="Times New Roman" w:hAnsi="Times New Roman" w:cs="Times New Roman"/>
          <w:color w:val="1F497D" w:themeColor="text2"/>
          <w:lang w:val="en-US"/>
        </w:rPr>
        <w:t>The monitoring of the 20% limit is one of the greatest sources of monitoring and bureaucracy burden inflicted on the research organizations by the authorities. It has to be simplified and more freedom has to be given to the research organizations on how to evaluate the relevant entity. And the limit must not be strict.</w:t>
      </w:r>
    </w:p>
    <w:p w14:paraId="41A7F80A" w14:textId="63E36A5A" w:rsidR="007E39EE" w:rsidRPr="00CB7CFF" w:rsidRDefault="007E39EE" w:rsidP="00D91D61">
      <w:pPr>
        <w:pStyle w:val="Default"/>
        <w:ind w:left="992"/>
        <w:jc w:val="both"/>
        <w:rPr>
          <w:rFonts w:ascii="Times New Roman" w:hAnsi="Times New Roman" w:cs="Times New Roman"/>
          <w:color w:val="1F497D" w:themeColor="text2"/>
          <w:lang w:val="en-US"/>
        </w:rPr>
      </w:pPr>
    </w:p>
    <w:p w14:paraId="2673ECEB" w14:textId="18DA864D" w:rsidR="007E39EE" w:rsidRDefault="007E39EE" w:rsidP="00017573">
      <w:pPr>
        <w:pStyle w:val="nadp"/>
        <w:keepNext w:val="0"/>
        <w:ind w:left="993"/>
        <w:jc w:val="both"/>
        <w:rPr>
          <w:lang w:val="en-US"/>
        </w:rPr>
      </w:pPr>
      <w:r w:rsidRPr="00CB7CFF">
        <w:rPr>
          <w:b w:val="0"/>
          <w:color w:val="1F497D" w:themeColor="text2"/>
          <w:lang w:val="en-US"/>
        </w:rPr>
        <w:t>We agree with the general limit of the public support limit of 20%. However, after the experience of the pandemic, when academic institutions were significantly involved in testing, we think that there should be at least some temporary relaxation of the 20% limit in favor of public health. The research infrastructure could thus be used on a temporary basis to help resolve the crisis situation and would not have to worry about subsequent financial penalties if it accidentally exceeds the limit of 20 %.</w:t>
      </w:r>
    </w:p>
    <w:p w14:paraId="2A7ED866" w14:textId="77777777" w:rsidR="009C7854" w:rsidRPr="00C35312" w:rsidRDefault="009C7854" w:rsidP="00D91D61">
      <w:pPr>
        <w:autoSpaceDE w:val="0"/>
        <w:autoSpaceDN w:val="0"/>
        <w:adjustRightInd w:val="0"/>
        <w:spacing w:after="0" w:line="240" w:lineRule="auto"/>
        <w:rPr>
          <w:rFonts w:ascii="Times New Roman" w:hAnsi="Times New Roman" w:cs="Times New Roman"/>
          <w:color w:val="000000"/>
          <w:sz w:val="24"/>
          <w:szCs w:val="24"/>
          <w:lang w:val="en-US"/>
        </w:rPr>
      </w:pPr>
    </w:p>
    <w:p w14:paraId="059D8856" w14:textId="77777777" w:rsidR="00ED5989" w:rsidRPr="004228C8" w:rsidRDefault="00ED5989" w:rsidP="00D91D61">
      <w:pPr>
        <w:pStyle w:val="Default"/>
        <w:ind w:left="993"/>
        <w:jc w:val="both"/>
        <w:rPr>
          <w:rFonts w:ascii="Times New Roman" w:hAnsi="Times New Roman" w:cs="Times New Roman"/>
          <w:i/>
          <w:color w:val="FF0000"/>
          <w:lang w:val="en-US"/>
        </w:rPr>
      </w:pPr>
    </w:p>
    <w:p w14:paraId="0783F282" w14:textId="77777777" w:rsidR="00C8028E" w:rsidRPr="00C35312" w:rsidRDefault="00C8028E" w:rsidP="00BF513A">
      <w:pPr>
        <w:pStyle w:val="Default"/>
        <w:ind w:left="708"/>
        <w:jc w:val="both"/>
        <w:rPr>
          <w:rFonts w:ascii="Times New Roman" w:hAnsi="Times New Roman" w:cs="Times New Roman"/>
          <w:i/>
          <w:color w:val="1F497D" w:themeColor="text2"/>
          <w:lang w:val="en-US"/>
        </w:rPr>
      </w:pPr>
      <w:r w:rsidRPr="00C35312">
        <w:rPr>
          <w:rFonts w:ascii="Times New Roman" w:hAnsi="Times New Roman" w:cs="Times New Roman"/>
          <w:i/>
          <w:iCs/>
          <w:lang w:val="en-US"/>
        </w:rPr>
        <w:t>2.1.2. Public funding of economic activities of research organisations and research infrastructures</w:t>
      </w:r>
    </w:p>
    <w:p w14:paraId="0B1B8DB5" w14:textId="77777777" w:rsidR="004228C8" w:rsidRDefault="004228C8" w:rsidP="00D91D6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b/>
      </w:r>
    </w:p>
    <w:p w14:paraId="6BFB1F98" w14:textId="130E4FA8" w:rsidR="003B30C8" w:rsidRDefault="004228C8" w:rsidP="004A3CC4">
      <w:pPr>
        <w:autoSpaceDE w:val="0"/>
        <w:autoSpaceDN w:val="0"/>
        <w:adjustRightInd w:val="0"/>
        <w:spacing w:after="0" w:line="240" w:lineRule="auto"/>
        <w:ind w:firstLine="708"/>
        <w:rPr>
          <w:rFonts w:ascii="Times New Roman" w:hAnsi="Times New Roman" w:cs="Times New Roman"/>
          <w:lang w:val="en-US"/>
        </w:rPr>
      </w:pPr>
      <w:r>
        <w:rPr>
          <w:rFonts w:ascii="Times New Roman" w:hAnsi="Times New Roman" w:cs="Times New Roman"/>
          <w:lang w:val="en-US"/>
        </w:rPr>
        <w:t>Article 24</w:t>
      </w:r>
    </w:p>
    <w:p w14:paraId="44A6AF72" w14:textId="253AB8B5" w:rsidR="000B4841" w:rsidRPr="00427969" w:rsidRDefault="00695CC6" w:rsidP="00D91D61">
      <w:pPr>
        <w:pStyle w:val="Odstavecseseznamem"/>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W</w:t>
      </w:r>
      <w:r w:rsidR="000B4841" w:rsidRPr="00427969">
        <w:rPr>
          <w:rFonts w:ascii="Times New Roman" w:hAnsi="Times New Roman" w:cs="Times New Roman"/>
          <w:color w:val="1F497D" w:themeColor="text2"/>
          <w:sz w:val="24"/>
          <w:szCs w:val="24"/>
          <w:lang w:val="en-US"/>
        </w:rPr>
        <w:t xml:space="preserve">e propose to extend the application of this </w:t>
      </w:r>
      <w:r w:rsidR="004228C8" w:rsidRPr="00427969">
        <w:rPr>
          <w:rFonts w:ascii="Times New Roman" w:hAnsi="Times New Roman" w:cs="Times New Roman"/>
          <w:color w:val="1F497D" w:themeColor="text2"/>
          <w:sz w:val="24"/>
          <w:szCs w:val="24"/>
          <w:lang w:val="en-US"/>
        </w:rPr>
        <w:t>article also</w:t>
      </w:r>
      <w:r w:rsidR="000B4841" w:rsidRPr="00427969">
        <w:rPr>
          <w:rFonts w:ascii="Times New Roman" w:hAnsi="Times New Roman" w:cs="Times New Roman"/>
          <w:color w:val="1F497D" w:themeColor="text2"/>
          <w:sz w:val="24"/>
          <w:szCs w:val="24"/>
          <w:lang w:val="en-US"/>
        </w:rPr>
        <w:t xml:space="preserve"> for other providers of services in area of research, development, and innovation. The mechanism of point 24 could exclude the aid also for innovation clusters and technology infrastructures.</w:t>
      </w:r>
    </w:p>
    <w:p w14:paraId="223D1A27" w14:textId="342DC3BC" w:rsidR="00681D63" w:rsidRPr="00427969" w:rsidRDefault="000B4841" w:rsidP="00D91D61">
      <w:pPr>
        <w:pStyle w:val="Odstavecseseznamem"/>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We</w:t>
      </w:r>
      <w:r w:rsidR="003B30C8" w:rsidRPr="00427969">
        <w:rPr>
          <w:rFonts w:ascii="Times New Roman" w:hAnsi="Times New Roman" w:cs="Times New Roman"/>
          <w:color w:val="1F497D" w:themeColor="text2"/>
          <w:sz w:val="24"/>
          <w:szCs w:val="24"/>
          <w:lang w:val="en-US"/>
        </w:rPr>
        <w:t xml:space="preserve"> suggest to remove the letter b which is redundant from the logic of state aid point</w:t>
      </w:r>
      <w:r w:rsidR="00C236D1" w:rsidRPr="00427969">
        <w:rPr>
          <w:rFonts w:ascii="Times New Roman" w:hAnsi="Times New Roman" w:cs="Times New Roman"/>
          <w:color w:val="1F497D" w:themeColor="text2"/>
          <w:sz w:val="24"/>
          <w:szCs w:val="24"/>
          <w:lang w:val="en-US"/>
        </w:rPr>
        <w:t xml:space="preserve"> of view</w:t>
      </w:r>
      <w:r w:rsidR="003B30C8" w:rsidRPr="00427969">
        <w:rPr>
          <w:rFonts w:ascii="Times New Roman" w:hAnsi="Times New Roman" w:cs="Times New Roman"/>
          <w:color w:val="1F497D" w:themeColor="text2"/>
          <w:sz w:val="24"/>
          <w:szCs w:val="24"/>
          <w:lang w:val="en-US"/>
        </w:rPr>
        <w:t xml:space="preserve">. </w:t>
      </w:r>
      <w:r w:rsidR="008901F2" w:rsidRPr="00427969">
        <w:rPr>
          <w:rFonts w:ascii="Times New Roman" w:hAnsi="Times New Roman" w:cs="Times New Roman"/>
          <w:color w:val="1F497D" w:themeColor="text2"/>
          <w:sz w:val="24"/>
          <w:szCs w:val="24"/>
          <w:lang w:val="en-US"/>
        </w:rPr>
        <w:t xml:space="preserve">If the advantage is fully passed on to the final recipients (letter a) it is sufficient to ensure the absence of the state aid at the level of intermediary. </w:t>
      </w:r>
      <w:r w:rsidRPr="00427969">
        <w:rPr>
          <w:rFonts w:ascii="Times New Roman" w:hAnsi="Times New Roman" w:cs="Times New Roman"/>
          <w:color w:val="1F497D" w:themeColor="text2"/>
          <w:sz w:val="24"/>
          <w:szCs w:val="24"/>
          <w:lang w:val="en-US"/>
        </w:rPr>
        <w:t xml:space="preserve">We </w:t>
      </w:r>
      <w:r w:rsidR="004228C8" w:rsidRPr="00427969">
        <w:rPr>
          <w:rFonts w:ascii="Times New Roman" w:hAnsi="Times New Roman" w:cs="Times New Roman"/>
          <w:color w:val="1F497D" w:themeColor="text2"/>
          <w:sz w:val="24"/>
          <w:szCs w:val="24"/>
          <w:lang w:val="en-US"/>
        </w:rPr>
        <w:t>also suggest</w:t>
      </w:r>
      <w:r w:rsidR="008901F2" w:rsidRPr="00427969">
        <w:rPr>
          <w:rFonts w:ascii="Times New Roman" w:hAnsi="Times New Roman" w:cs="Times New Roman"/>
          <w:color w:val="1F497D" w:themeColor="text2"/>
          <w:sz w:val="24"/>
          <w:szCs w:val="24"/>
          <w:lang w:val="en-US"/>
        </w:rPr>
        <w:t xml:space="preserve"> to change the wording „open tender </w:t>
      </w:r>
      <w:r w:rsidR="004228C8" w:rsidRPr="00427969">
        <w:rPr>
          <w:rFonts w:ascii="Times New Roman" w:hAnsi="Times New Roman" w:cs="Times New Roman"/>
          <w:color w:val="1F497D" w:themeColor="text2"/>
          <w:sz w:val="24"/>
          <w:szCs w:val="24"/>
          <w:lang w:val="en-US"/>
        </w:rPr>
        <w:t>procedure “to</w:t>
      </w:r>
      <w:r w:rsidR="008901F2" w:rsidRPr="00427969">
        <w:rPr>
          <w:rFonts w:ascii="Times New Roman" w:hAnsi="Times New Roman" w:cs="Times New Roman"/>
          <w:color w:val="1F497D" w:themeColor="text2"/>
          <w:sz w:val="24"/>
          <w:szCs w:val="24"/>
          <w:lang w:val="en-US"/>
        </w:rPr>
        <w:t xml:space="preserve"> „open tender procedure or any other open public call“, because now it seems only linked to public tenders or public procurement.</w:t>
      </w:r>
    </w:p>
    <w:p w14:paraId="1D2110D4" w14:textId="77777777" w:rsidR="00B4102B" w:rsidRPr="00C35312" w:rsidRDefault="00B4102B" w:rsidP="00D91D61">
      <w:pPr>
        <w:ind w:left="708"/>
        <w:jc w:val="both"/>
        <w:rPr>
          <w:rFonts w:ascii="Times New Roman" w:hAnsi="Times New Roman" w:cs="Times New Roman"/>
          <w:i/>
          <w:iCs/>
          <w:sz w:val="24"/>
          <w:szCs w:val="24"/>
          <w:lang w:val="en-US"/>
        </w:rPr>
      </w:pPr>
      <w:r w:rsidRPr="00C35312">
        <w:rPr>
          <w:rFonts w:ascii="Times New Roman" w:hAnsi="Times New Roman" w:cs="Times New Roman"/>
          <w:b/>
          <w:bCs/>
          <w:sz w:val="24"/>
          <w:szCs w:val="24"/>
          <w:lang w:val="en-US"/>
        </w:rPr>
        <w:t>2.2. Indirect State aid to undertakings through public funded research and knowledge dissemination organisations and research infrastructures</w:t>
      </w:r>
    </w:p>
    <w:p w14:paraId="188F5382" w14:textId="77777777" w:rsidR="004F7E88" w:rsidRPr="00C35312" w:rsidRDefault="004F7E88" w:rsidP="00D91D61">
      <w:pPr>
        <w:ind w:left="708"/>
        <w:jc w:val="both"/>
        <w:rPr>
          <w:rFonts w:ascii="Times New Roman" w:hAnsi="Times New Roman" w:cs="Times New Roman"/>
          <w:i/>
          <w:color w:val="1F497D" w:themeColor="text2"/>
          <w:sz w:val="24"/>
          <w:szCs w:val="24"/>
          <w:lang w:val="en-US"/>
        </w:rPr>
      </w:pPr>
      <w:r w:rsidRPr="00C35312">
        <w:rPr>
          <w:rFonts w:ascii="Times New Roman" w:hAnsi="Times New Roman" w:cs="Times New Roman"/>
          <w:i/>
          <w:iCs/>
          <w:sz w:val="24"/>
          <w:szCs w:val="24"/>
          <w:lang w:val="en-US"/>
        </w:rPr>
        <w:t>2.2.2. Collaboration with undertakings</w:t>
      </w:r>
    </w:p>
    <w:p w14:paraId="4E4823DE" w14:textId="3153374A" w:rsidR="006B025C" w:rsidRPr="00427969" w:rsidRDefault="000A3AEE" w:rsidP="004A3CC4">
      <w:pPr>
        <w:ind w:firstLine="708"/>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000000"/>
          <w:sz w:val="24"/>
          <w:szCs w:val="24"/>
          <w:lang w:val="en-US"/>
        </w:rPr>
        <w:t>31 + 32</w:t>
      </w:r>
      <w:r w:rsidRPr="00C35312">
        <w:rPr>
          <w:rFonts w:ascii="Times New Roman" w:hAnsi="Times New Roman" w:cs="Times New Roman"/>
          <w:i/>
          <w:color w:val="1F497D" w:themeColor="text2"/>
          <w:sz w:val="24"/>
          <w:szCs w:val="24"/>
          <w:lang w:val="en-US"/>
        </w:rPr>
        <w:t xml:space="preserve">. </w:t>
      </w:r>
      <w:r w:rsidRPr="00427969">
        <w:rPr>
          <w:rFonts w:ascii="Times New Roman" w:hAnsi="Times New Roman" w:cs="Times New Roman"/>
          <w:color w:val="1F497D" w:themeColor="text2"/>
          <w:sz w:val="24"/>
          <w:szCs w:val="24"/>
          <w:lang w:val="en-US"/>
        </w:rPr>
        <w:t>Reference is wrongly made to to points 31 (d) and 31 instead of 30 (d) and 30</w:t>
      </w:r>
      <w:r w:rsidR="006B025C" w:rsidRPr="00427969">
        <w:rPr>
          <w:rFonts w:ascii="Times New Roman" w:hAnsi="Times New Roman" w:cs="Times New Roman"/>
          <w:iCs/>
          <w:color w:val="000000"/>
          <w:sz w:val="24"/>
          <w:szCs w:val="24"/>
          <w:lang w:val="en-US"/>
        </w:rPr>
        <w:t xml:space="preserve"> </w:t>
      </w:r>
    </w:p>
    <w:p w14:paraId="6A7E25BF" w14:textId="77777777" w:rsidR="000A3AEE" w:rsidRPr="00C35312" w:rsidRDefault="000A3AEE" w:rsidP="00D91D61">
      <w:pPr>
        <w:pStyle w:val="Default"/>
        <w:rPr>
          <w:rFonts w:ascii="Times New Roman" w:hAnsi="Times New Roman" w:cs="Times New Roman"/>
          <w:lang w:val="en-US"/>
        </w:rPr>
      </w:pPr>
      <w:r w:rsidRPr="00C35312">
        <w:rPr>
          <w:rFonts w:ascii="Times New Roman" w:hAnsi="Times New Roman" w:cs="Times New Roman"/>
          <w:i/>
          <w:color w:val="1F497D" w:themeColor="text2"/>
          <w:lang w:val="en-US"/>
        </w:rPr>
        <w:tab/>
        <w:t xml:space="preserve"> </w:t>
      </w:r>
    </w:p>
    <w:p w14:paraId="047B08F3" w14:textId="77777777" w:rsidR="000A08C3" w:rsidRPr="00C35312" w:rsidRDefault="000A08C3" w:rsidP="008420C2">
      <w:pPr>
        <w:autoSpaceDE w:val="0"/>
        <w:autoSpaceDN w:val="0"/>
        <w:adjustRightInd w:val="0"/>
        <w:spacing w:after="0" w:line="240" w:lineRule="auto"/>
        <w:ind w:left="709"/>
        <w:jc w:val="both"/>
        <w:rPr>
          <w:rFonts w:ascii="Times New Roman" w:hAnsi="Times New Roman" w:cs="Times New Roman"/>
          <w:b/>
          <w:bCs/>
          <w:sz w:val="24"/>
          <w:szCs w:val="24"/>
          <w:lang w:val="en-US"/>
        </w:rPr>
      </w:pPr>
      <w:r w:rsidRPr="00C35312">
        <w:rPr>
          <w:rFonts w:ascii="Times New Roman" w:hAnsi="Times New Roman" w:cs="Times New Roman"/>
          <w:b/>
          <w:bCs/>
          <w:sz w:val="24"/>
          <w:szCs w:val="24"/>
          <w:lang w:val="en-US"/>
        </w:rPr>
        <w:t>3.2.2 Appropriateness of the aid measure</w:t>
      </w:r>
    </w:p>
    <w:p w14:paraId="7F130FB7" w14:textId="77777777" w:rsidR="00A71E38" w:rsidRPr="00C35312" w:rsidRDefault="00A71E38" w:rsidP="008420C2">
      <w:pPr>
        <w:autoSpaceDE w:val="0"/>
        <w:autoSpaceDN w:val="0"/>
        <w:adjustRightInd w:val="0"/>
        <w:spacing w:after="0" w:line="240" w:lineRule="auto"/>
        <w:ind w:left="709"/>
        <w:jc w:val="both"/>
        <w:rPr>
          <w:rFonts w:ascii="Times New Roman" w:hAnsi="Times New Roman" w:cs="Times New Roman"/>
          <w:b/>
          <w:bCs/>
          <w:sz w:val="24"/>
          <w:szCs w:val="24"/>
          <w:lang w:val="en-US"/>
        </w:rPr>
      </w:pPr>
    </w:p>
    <w:p w14:paraId="194EDD96" w14:textId="77777777" w:rsidR="000A08C3" w:rsidRPr="00C35312" w:rsidRDefault="000A08C3" w:rsidP="008420C2">
      <w:pPr>
        <w:autoSpaceDE w:val="0"/>
        <w:autoSpaceDN w:val="0"/>
        <w:adjustRightInd w:val="0"/>
        <w:spacing w:after="0" w:line="240" w:lineRule="auto"/>
        <w:ind w:left="709"/>
        <w:jc w:val="both"/>
        <w:rPr>
          <w:rFonts w:ascii="Times New Roman" w:hAnsi="Times New Roman" w:cs="Times New Roman"/>
          <w:i/>
          <w:iCs/>
          <w:sz w:val="24"/>
          <w:szCs w:val="24"/>
          <w:lang w:val="en-US"/>
        </w:rPr>
      </w:pPr>
      <w:r w:rsidRPr="00C35312">
        <w:rPr>
          <w:rFonts w:ascii="Times New Roman" w:hAnsi="Times New Roman" w:cs="Times New Roman"/>
          <w:i/>
          <w:iCs/>
          <w:sz w:val="24"/>
          <w:szCs w:val="24"/>
          <w:lang w:val="en-US"/>
        </w:rPr>
        <w:t>3.2.2.1. Appropriateness among alternative policy instruments</w:t>
      </w:r>
    </w:p>
    <w:p w14:paraId="12E5A9C9" w14:textId="77777777" w:rsidR="00BD6612" w:rsidRDefault="00BD6612" w:rsidP="008420C2">
      <w:pPr>
        <w:autoSpaceDE w:val="0"/>
        <w:autoSpaceDN w:val="0"/>
        <w:adjustRightInd w:val="0"/>
        <w:spacing w:after="0" w:line="240" w:lineRule="auto"/>
        <w:ind w:left="709"/>
        <w:jc w:val="both"/>
        <w:rPr>
          <w:rFonts w:ascii="Times New Roman" w:hAnsi="Times New Roman" w:cs="Times New Roman"/>
          <w:color w:val="000000"/>
          <w:sz w:val="24"/>
          <w:szCs w:val="24"/>
          <w:lang w:val="en-US"/>
        </w:rPr>
      </w:pPr>
    </w:p>
    <w:p w14:paraId="16A2F63C" w14:textId="0E4F4A64" w:rsidR="000A08C3" w:rsidRPr="00C35312" w:rsidRDefault="00C60C7C" w:rsidP="008420C2">
      <w:pPr>
        <w:autoSpaceDE w:val="0"/>
        <w:autoSpaceDN w:val="0"/>
        <w:adjustRightInd w:val="0"/>
        <w:spacing w:after="0" w:line="240" w:lineRule="auto"/>
        <w:ind w:left="709"/>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Article </w:t>
      </w:r>
      <w:r w:rsidR="000A08C3" w:rsidRPr="00C35312">
        <w:rPr>
          <w:rFonts w:ascii="Times New Roman" w:hAnsi="Times New Roman" w:cs="Times New Roman"/>
          <w:color w:val="000000"/>
          <w:sz w:val="24"/>
          <w:szCs w:val="24"/>
          <w:lang w:val="en-US"/>
        </w:rPr>
        <w:t xml:space="preserve">74 </w:t>
      </w:r>
    </w:p>
    <w:p w14:paraId="4CC25027" w14:textId="2DD7C19F" w:rsidR="00A71E38" w:rsidRPr="00C35312" w:rsidRDefault="00A71E38" w:rsidP="008420C2">
      <w:pPr>
        <w:autoSpaceDE w:val="0"/>
        <w:autoSpaceDN w:val="0"/>
        <w:adjustRightInd w:val="0"/>
        <w:spacing w:after="0" w:line="240" w:lineRule="auto"/>
        <w:ind w:left="709"/>
        <w:jc w:val="both"/>
        <w:rPr>
          <w:rFonts w:ascii="Times New Roman" w:hAnsi="Times New Roman" w:cs="Times New Roman"/>
          <w:color w:val="1F497D" w:themeColor="text2"/>
          <w:sz w:val="24"/>
          <w:szCs w:val="24"/>
          <w:lang w:val="en-US"/>
        </w:rPr>
      </w:pPr>
      <w:r w:rsidRPr="00C35312">
        <w:rPr>
          <w:rFonts w:ascii="Times New Roman" w:hAnsi="Times New Roman" w:cs="Times New Roman"/>
          <w:color w:val="1F497D" w:themeColor="text2"/>
          <w:sz w:val="24"/>
          <w:szCs w:val="24"/>
          <w:lang w:val="en-US"/>
        </w:rPr>
        <w:t xml:space="preserve">In the last sentence it is expected that the Member States should demonstrate that the State aid for the assessed project or activity would create synergies with any funding or co-financing from Union programmes. Even though the synergies between regional, </w:t>
      </w:r>
      <w:r w:rsidRPr="00C35312">
        <w:rPr>
          <w:rFonts w:ascii="Times New Roman" w:hAnsi="Times New Roman" w:cs="Times New Roman"/>
          <w:color w:val="1F497D" w:themeColor="text2"/>
          <w:sz w:val="24"/>
          <w:szCs w:val="24"/>
          <w:lang w:val="en-US"/>
        </w:rPr>
        <w:lastRenderedPageBreak/>
        <w:t xml:space="preserve">national and European funding and co-financing are important and we believe that providers see synergies as an opportunity, the need to demonstrate a synergy to demonstrate its appropriateness among alternative policy instruments, especially with a Union programme only, seems to be quite strict. Therefore we recommend to alleviate the condition this way: </w:t>
      </w:r>
      <w:r w:rsidRPr="00C35312">
        <w:rPr>
          <w:rFonts w:ascii="Times New Roman" w:hAnsi="Times New Roman" w:cs="Times New Roman"/>
          <w:i/>
          <w:color w:val="1F497D" w:themeColor="text2"/>
          <w:sz w:val="24"/>
          <w:szCs w:val="24"/>
          <w:lang w:val="en-US"/>
        </w:rPr>
        <w:t xml:space="preserve">„Member States should </w:t>
      </w:r>
      <w:r w:rsidRPr="00C35312">
        <w:rPr>
          <w:rFonts w:ascii="Times New Roman" w:hAnsi="Times New Roman" w:cs="Times New Roman"/>
          <w:b/>
          <w:i/>
          <w:color w:val="1F497D" w:themeColor="text2"/>
          <w:sz w:val="24"/>
          <w:szCs w:val="24"/>
          <w:lang w:val="en-US"/>
        </w:rPr>
        <w:t>seek the possibility</w:t>
      </w:r>
      <w:r w:rsidRPr="00C35312">
        <w:rPr>
          <w:rFonts w:ascii="Times New Roman" w:hAnsi="Times New Roman" w:cs="Times New Roman"/>
          <w:i/>
          <w:color w:val="1F497D" w:themeColor="text2"/>
          <w:sz w:val="24"/>
          <w:szCs w:val="24"/>
          <w:lang w:val="en-US"/>
        </w:rPr>
        <w:t xml:space="preserve"> that the State aid for the assessed project or activity could create synergies with any funding or co-financing from Union </w:t>
      </w:r>
      <w:r w:rsidRPr="00C35312">
        <w:rPr>
          <w:rFonts w:ascii="Times New Roman" w:hAnsi="Times New Roman" w:cs="Times New Roman"/>
          <w:b/>
          <w:i/>
          <w:color w:val="1F497D" w:themeColor="text2"/>
          <w:sz w:val="24"/>
          <w:szCs w:val="24"/>
          <w:lang w:val="en-US"/>
        </w:rPr>
        <w:t>or national or regional</w:t>
      </w:r>
      <w:r w:rsidRPr="00C35312">
        <w:rPr>
          <w:rFonts w:ascii="Times New Roman" w:hAnsi="Times New Roman" w:cs="Times New Roman"/>
          <w:i/>
          <w:color w:val="1F497D" w:themeColor="text2"/>
          <w:sz w:val="24"/>
          <w:szCs w:val="24"/>
          <w:lang w:val="en-US"/>
        </w:rPr>
        <w:t xml:space="preserve"> </w:t>
      </w:r>
      <w:r w:rsidR="00451198" w:rsidRPr="00C35312">
        <w:rPr>
          <w:rFonts w:ascii="Times New Roman" w:hAnsi="Times New Roman" w:cs="Times New Roman"/>
          <w:i/>
          <w:color w:val="1F497D" w:themeColor="text2"/>
          <w:sz w:val="24"/>
          <w:szCs w:val="24"/>
          <w:lang w:val="en-US"/>
        </w:rPr>
        <w:t>programmes. “</w:t>
      </w:r>
    </w:p>
    <w:p w14:paraId="5589CD22" w14:textId="77777777" w:rsidR="00A71E38" w:rsidRPr="00C35312" w:rsidRDefault="00A71E38" w:rsidP="00D91D61">
      <w:pPr>
        <w:autoSpaceDE w:val="0"/>
        <w:autoSpaceDN w:val="0"/>
        <w:adjustRightInd w:val="0"/>
        <w:spacing w:after="0" w:line="240" w:lineRule="auto"/>
        <w:ind w:left="774"/>
        <w:jc w:val="both"/>
        <w:rPr>
          <w:rFonts w:ascii="Times New Roman" w:hAnsi="Times New Roman" w:cs="Times New Roman"/>
          <w:color w:val="000000"/>
          <w:sz w:val="24"/>
          <w:szCs w:val="24"/>
          <w:lang w:val="en-US"/>
        </w:rPr>
      </w:pPr>
    </w:p>
    <w:p w14:paraId="228F7528" w14:textId="77777777" w:rsidR="000A08C3" w:rsidRPr="00C35312" w:rsidRDefault="000A08C3" w:rsidP="00D91D61">
      <w:pPr>
        <w:autoSpaceDE w:val="0"/>
        <w:autoSpaceDN w:val="0"/>
        <w:adjustRightInd w:val="0"/>
        <w:spacing w:after="0" w:line="240" w:lineRule="auto"/>
        <w:ind w:left="1134"/>
        <w:jc w:val="both"/>
        <w:rPr>
          <w:rFonts w:ascii="Times New Roman" w:hAnsi="Times New Roman" w:cs="Times New Roman"/>
          <w:b/>
          <w:bCs/>
          <w:sz w:val="24"/>
          <w:szCs w:val="24"/>
          <w:lang w:val="en-US"/>
        </w:rPr>
      </w:pPr>
    </w:p>
    <w:p w14:paraId="748E5745" w14:textId="73D64C3F" w:rsidR="00390CA3" w:rsidRDefault="00390CA3" w:rsidP="008420C2">
      <w:pPr>
        <w:autoSpaceDE w:val="0"/>
        <w:autoSpaceDN w:val="0"/>
        <w:adjustRightInd w:val="0"/>
        <w:spacing w:after="0" w:line="240" w:lineRule="auto"/>
        <w:ind w:left="709"/>
        <w:jc w:val="both"/>
        <w:rPr>
          <w:rFonts w:ascii="Times New Roman" w:hAnsi="Times New Roman" w:cs="Times New Roman"/>
          <w:b/>
          <w:bCs/>
          <w:sz w:val="24"/>
          <w:szCs w:val="24"/>
          <w:lang w:val="en-US"/>
        </w:rPr>
      </w:pPr>
      <w:r w:rsidRPr="00C35312">
        <w:rPr>
          <w:rFonts w:ascii="Times New Roman" w:hAnsi="Times New Roman" w:cs="Times New Roman"/>
          <w:b/>
          <w:bCs/>
          <w:sz w:val="24"/>
          <w:szCs w:val="24"/>
          <w:lang w:val="en-US"/>
        </w:rPr>
        <w:t>3.2.3 Proportionality of the aid</w:t>
      </w:r>
    </w:p>
    <w:p w14:paraId="7F37F209" w14:textId="77777777" w:rsidR="008420C2" w:rsidRPr="00C35312" w:rsidRDefault="008420C2" w:rsidP="008420C2">
      <w:pPr>
        <w:autoSpaceDE w:val="0"/>
        <w:autoSpaceDN w:val="0"/>
        <w:adjustRightInd w:val="0"/>
        <w:spacing w:after="0" w:line="240" w:lineRule="auto"/>
        <w:ind w:left="709"/>
        <w:jc w:val="both"/>
        <w:rPr>
          <w:rFonts w:ascii="Times New Roman" w:hAnsi="Times New Roman" w:cs="Times New Roman"/>
          <w:b/>
          <w:bCs/>
          <w:sz w:val="24"/>
          <w:szCs w:val="24"/>
          <w:lang w:val="en-US"/>
        </w:rPr>
      </w:pPr>
    </w:p>
    <w:p w14:paraId="13B6E6CF" w14:textId="77777777" w:rsidR="00390CA3" w:rsidRPr="00C35312" w:rsidRDefault="00390CA3" w:rsidP="008420C2">
      <w:pPr>
        <w:autoSpaceDE w:val="0"/>
        <w:autoSpaceDN w:val="0"/>
        <w:adjustRightInd w:val="0"/>
        <w:spacing w:after="0" w:line="240" w:lineRule="auto"/>
        <w:ind w:left="709"/>
        <w:jc w:val="both"/>
        <w:rPr>
          <w:rFonts w:ascii="Times New Roman" w:hAnsi="Times New Roman" w:cs="Times New Roman"/>
          <w:sz w:val="24"/>
          <w:szCs w:val="24"/>
          <w:lang w:val="en-US"/>
        </w:rPr>
      </w:pPr>
      <w:r w:rsidRPr="00C35312">
        <w:rPr>
          <w:rFonts w:ascii="Times New Roman" w:hAnsi="Times New Roman" w:cs="Times New Roman"/>
          <w:sz w:val="24"/>
          <w:szCs w:val="24"/>
          <w:lang w:val="en-US"/>
        </w:rPr>
        <w:t>3.2.3.1. General conditions</w:t>
      </w:r>
    </w:p>
    <w:p w14:paraId="5C8EF83E" w14:textId="77777777" w:rsidR="008420C2" w:rsidRDefault="008420C2" w:rsidP="008420C2">
      <w:pPr>
        <w:autoSpaceDE w:val="0"/>
        <w:autoSpaceDN w:val="0"/>
        <w:adjustRightInd w:val="0"/>
        <w:spacing w:after="0" w:line="240" w:lineRule="auto"/>
        <w:ind w:firstLine="708"/>
        <w:jc w:val="both"/>
        <w:rPr>
          <w:rFonts w:ascii="Times New Roman" w:hAnsi="Times New Roman" w:cs="Times New Roman"/>
          <w:color w:val="000000"/>
          <w:sz w:val="24"/>
          <w:szCs w:val="24"/>
          <w:lang w:val="en-US"/>
        </w:rPr>
      </w:pPr>
    </w:p>
    <w:p w14:paraId="13C12C86" w14:textId="74903D5C" w:rsidR="000A3AEE" w:rsidRPr="00C35312" w:rsidRDefault="00C60C7C" w:rsidP="008420C2">
      <w:pPr>
        <w:autoSpaceDE w:val="0"/>
        <w:autoSpaceDN w:val="0"/>
        <w:adjustRightInd w:val="0"/>
        <w:spacing w:after="0" w:line="240" w:lineRule="auto"/>
        <w:ind w:firstLine="708"/>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Article </w:t>
      </w:r>
      <w:r w:rsidR="000A3AEE" w:rsidRPr="00C35312">
        <w:rPr>
          <w:rFonts w:ascii="Times New Roman" w:hAnsi="Times New Roman" w:cs="Times New Roman"/>
          <w:color w:val="000000"/>
          <w:sz w:val="24"/>
          <w:szCs w:val="24"/>
          <w:lang w:val="en-US"/>
        </w:rPr>
        <w:t xml:space="preserve">81 </w:t>
      </w:r>
    </w:p>
    <w:p w14:paraId="6FAE9CEF" w14:textId="1C992C21" w:rsidR="00E24E63" w:rsidRPr="00427969" w:rsidRDefault="00172D30" w:rsidP="00D91D61">
      <w:pPr>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 xml:space="preserve">This point allows to use also indirect R&amp;D project costs calculated on the basis of a simplified cost approach. Unfortunately, the point specifies the only method of simplified cost methods how to calculate the indirect R&amp;D project costs, which is in the form of a flat-rate of up to 15%, applied to total eligible direct R&amp;D project costs. State aid applies also to programmes of shared management, where projects in R&amp;D financed from ERDF and ESF+ can be also financed using simplified cost options. </w:t>
      </w:r>
      <w:r w:rsidR="005E3AB1" w:rsidRPr="00427969">
        <w:rPr>
          <w:rFonts w:ascii="Times New Roman" w:hAnsi="Times New Roman" w:cs="Times New Roman"/>
          <w:color w:val="1F497D" w:themeColor="text2"/>
          <w:sz w:val="24"/>
          <w:szCs w:val="24"/>
          <w:lang w:val="en-US"/>
        </w:rPr>
        <w:t xml:space="preserve">However, </w:t>
      </w:r>
      <w:r w:rsidRPr="00427969">
        <w:rPr>
          <w:rFonts w:ascii="Times New Roman" w:hAnsi="Times New Roman" w:cs="Times New Roman"/>
          <w:color w:val="1F497D" w:themeColor="text2"/>
          <w:sz w:val="24"/>
          <w:szCs w:val="24"/>
          <w:lang w:val="en-US"/>
        </w:rPr>
        <w:t>in that case there are more methods that can be used, including the same method the Framework programme for research and innovation (Horizon Europe) is using. Setting only one method in the Framework for state aid narrows too much the possibilities given to programmes under the shared management by their regulations. Therefore</w:t>
      </w:r>
      <w:r w:rsidR="005E3AB1" w:rsidRPr="00427969">
        <w:rPr>
          <w:rFonts w:ascii="Times New Roman" w:hAnsi="Times New Roman" w:cs="Times New Roman"/>
          <w:color w:val="1F497D" w:themeColor="text2"/>
          <w:sz w:val="24"/>
          <w:szCs w:val="24"/>
          <w:lang w:val="en-US"/>
        </w:rPr>
        <w:t>,</w:t>
      </w:r>
      <w:r w:rsidRPr="00427969">
        <w:rPr>
          <w:rFonts w:ascii="Times New Roman" w:hAnsi="Times New Roman" w:cs="Times New Roman"/>
          <w:color w:val="1F497D" w:themeColor="text2"/>
          <w:sz w:val="24"/>
          <w:szCs w:val="24"/>
          <w:lang w:val="en-US"/>
        </w:rPr>
        <w:t xml:space="preserve"> we suggest to amend paragraph 81 as follows: The eligible costs shall be supported by the most recently available documentary evidence which shall be clear and specific. </w:t>
      </w:r>
      <w:r w:rsidRPr="00427969">
        <w:rPr>
          <w:rFonts w:ascii="Times New Roman" w:hAnsi="Times New Roman" w:cs="Times New Roman"/>
          <w:b/>
          <w:color w:val="1F497D" w:themeColor="text2"/>
          <w:sz w:val="24"/>
          <w:szCs w:val="24"/>
          <w:lang w:val="en-US"/>
        </w:rPr>
        <w:t>All simplified cost options (SCOs), such as flat rates, unit costs and lump sums can be applied.</w:t>
      </w:r>
      <w:r w:rsidRPr="00427969">
        <w:rPr>
          <w:rFonts w:ascii="Times New Roman" w:hAnsi="Times New Roman" w:cs="Times New Roman"/>
          <w:color w:val="1F497D" w:themeColor="text2"/>
          <w:sz w:val="24"/>
          <w:szCs w:val="24"/>
          <w:lang w:val="en-US"/>
        </w:rPr>
        <w:t xml:space="preserve"> In the latter case, the categories of direct costs should be established on the basis of normal accounting practices, must comprise only eligible R&amp;D project costs listed in Annex I, and must be duly justified.</w:t>
      </w:r>
    </w:p>
    <w:p w14:paraId="5D45DA5A" w14:textId="0B7DE2D2" w:rsidR="00815C67" w:rsidRPr="00427969" w:rsidRDefault="00815C67" w:rsidP="00D91D61">
      <w:pPr>
        <w:ind w:left="708"/>
        <w:jc w:val="both"/>
        <w:rPr>
          <w:rFonts w:ascii="Times New Roman" w:hAnsi="Times New Roman" w:cs="Times New Roman"/>
          <w:color w:val="1F497D" w:themeColor="text2"/>
          <w:sz w:val="24"/>
          <w:szCs w:val="24"/>
          <w:lang w:val="en-US"/>
        </w:rPr>
      </w:pPr>
      <w:r w:rsidRPr="00427969">
        <w:rPr>
          <w:rFonts w:ascii="Times New Roman" w:hAnsi="Times New Roman" w:cs="Times New Roman"/>
          <w:color w:val="1F497D" w:themeColor="text2"/>
          <w:sz w:val="24"/>
          <w:szCs w:val="24"/>
          <w:lang w:val="en-US"/>
        </w:rPr>
        <w:t>In addition</w:t>
      </w:r>
      <w:r w:rsidR="00C60C7C" w:rsidRPr="00427969">
        <w:rPr>
          <w:rFonts w:ascii="Times New Roman" w:hAnsi="Times New Roman" w:cs="Times New Roman"/>
          <w:color w:val="1F497D" w:themeColor="text2"/>
          <w:sz w:val="24"/>
          <w:szCs w:val="24"/>
          <w:lang w:val="en-US"/>
        </w:rPr>
        <w:t>,</w:t>
      </w:r>
      <w:r w:rsidRPr="00427969">
        <w:rPr>
          <w:rFonts w:ascii="Times New Roman" w:hAnsi="Times New Roman" w:cs="Times New Roman"/>
          <w:color w:val="1F497D" w:themeColor="text2"/>
          <w:sz w:val="24"/>
          <w:szCs w:val="24"/>
          <w:lang w:val="en-US"/>
        </w:rPr>
        <w:t xml:space="preserve"> we propose to</w:t>
      </w:r>
      <w:r w:rsidR="00924A6C" w:rsidRPr="00427969">
        <w:rPr>
          <w:rFonts w:ascii="Times New Roman" w:hAnsi="Times New Roman" w:cs="Times New Roman"/>
          <w:color w:val="1F497D" w:themeColor="text2"/>
          <w:sz w:val="24"/>
          <w:szCs w:val="24"/>
          <w:lang w:val="en-US"/>
        </w:rPr>
        <w:t xml:space="preserve"> increase the limit Indirect R&amp;D project costs from 15 % to at least 20 % or 25 %.</w:t>
      </w:r>
    </w:p>
    <w:p w14:paraId="18C76F2B" w14:textId="77777777" w:rsidR="00E33315" w:rsidRPr="00C35312" w:rsidRDefault="00E24E63" w:rsidP="00D91D61">
      <w:pPr>
        <w:pStyle w:val="Odstavecseseznamem"/>
        <w:rPr>
          <w:rFonts w:ascii="Times New Roman" w:hAnsi="Times New Roman" w:cs="Times New Roman"/>
          <w:i/>
          <w:iCs/>
          <w:sz w:val="24"/>
          <w:szCs w:val="24"/>
          <w:lang w:val="en-US"/>
        </w:rPr>
      </w:pPr>
      <w:r w:rsidRPr="00C35312">
        <w:rPr>
          <w:rFonts w:ascii="Times New Roman" w:hAnsi="Times New Roman" w:cs="Times New Roman"/>
          <w:i/>
          <w:iCs/>
          <w:sz w:val="24"/>
          <w:szCs w:val="24"/>
          <w:lang w:val="en-US"/>
        </w:rPr>
        <w:t>3.2.3.2. Additional conditions for individual aid</w:t>
      </w:r>
    </w:p>
    <w:p w14:paraId="36007F4A" w14:textId="77777777" w:rsidR="00E24E63" w:rsidRPr="00C35312" w:rsidRDefault="00E24E63" w:rsidP="00D91D61">
      <w:pPr>
        <w:pStyle w:val="Odstavecseseznamem"/>
        <w:rPr>
          <w:rFonts w:ascii="Times New Roman" w:hAnsi="Times New Roman" w:cs="Times New Roman"/>
          <w:i/>
          <w:iCs/>
          <w:sz w:val="24"/>
          <w:szCs w:val="24"/>
          <w:lang w:val="en-US"/>
        </w:rPr>
      </w:pPr>
    </w:p>
    <w:p w14:paraId="4C201C57" w14:textId="12498A84" w:rsidR="00E24E63" w:rsidRPr="00C35312" w:rsidRDefault="00C60C7C" w:rsidP="00D91D61">
      <w:pPr>
        <w:autoSpaceDE w:val="0"/>
        <w:autoSpaceDN w:val="0"/>
        <w:adjustRightInd w:val="0"/>
        <w:spacing w:after="0" w:line="240" w:lineRule="auto"/>
        <w:ind w:left="708"/>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Article </w:t>
      </w:r>
      <w:r w:rsidR="00E24E63" w:rsidRPr="00C35312">
        <w:rPr>
          <w:rFonts w:ascii="Times New Roman" w:hAnsi="Times New Roman" w:cs="Times New Roman"/>
          <w:color w:val="000000"/>
          <w:sz w:val="24"/>
          <w:szCs w:val="24"/>
          <w:lang w:val="en-US"/>
        </w:rPr>
        <w:t>95</w:t>
      </w:r>
      <w:r>
        <w:rPr>
          <w:rFonts w:ascii="Times New Roman" w:hAnsi="Times New Roman" w:cs="Times New Roman"/>
          <w:color w:val="000000"/>
          <w:sz w:val="24"/>
          <w:szCs w:val="24"/>
          <w:lang w:val="en-US"/>
        </w:rPr>
        <w:t xml:space="preserve"> </w:t>
      </w:r>
    </w:p>
    <w:p w14:paraId="5454972B" w14:textId="3B3EB10D" w:rsidR="00E24E63" w:rsidRPr="00C60C7C" w:rsidRDefault="00C60C7C" w:rsidP="008420C2">
      <w:pPr>
        <w:ind w:firstLine="708"/>
        <w:rPr>
          <w:rFonts w:ascii="Times New Roman" w:hAnsi="Times New Roman" w:cs="Times New Roman"/>
          <w:color w:val="1F497D" w:themeColor="text2"/>
          <w:sz w:val="24"/>
          <w:szCs w:val="24"/>
          <w:lang w:val="en-US"/>
        </w:rPr>
      </w:pPr>
      <w:r>
        <w:rPr>
          <w:rFonts w:ascii="Times New Roman" w:hAnsi="Times New Roman" w:cs="Times New Roman"/>
          <w:color w:val="1F497D" w:themeColor="text2"/>
          <w:sz w:val="24"/>
          <w:szCs w:val="24"/>
          <w:lang w:val="en-US"/>
        </w:rPr>
        <w:t>We</w:t>
      </w:r>
      <w:r w:rsidR="00E24E63" w:rsidRPr="00C60C7C">
        <w:rPr>
          <w:rFonts w:ascii="Times New Roman" w:hAnsi="Times New Roman" w:cs="Times New Roman"/>
          <w:color w:val="1F497D" w:themeColor="text2"/>
          <w:sz w:val="24"/>
          <w:szCs w:val="24"/>
          <w:lang w:val="en-US"/>
        </w:rPr>
        <w:t xml:space="preserve"> </w:t>
      </w:r>
      <w:r w:rsidR="003B7CF6" w:rsidRPr="00C60C7C">
        <w:rPr>
          <w:rFonts w:ascii="Times New Roman" w:hAnsi="Times New Roman" w:cs="Times New Roman"/>
          <w:color w:val="1F497D" w:themeColor="text2"/>
          <w:sz w:val="24"/>
          <w:szCs w:val="24"/>
          <w:lang w:val="en-US"/>
        </w:rPr>
        <w:t>suggest the</w:t>
      </w:r>
      <w:r w:rsidR="00E24E63" w:rsidRPr="00C60C7C">
        <w:rPr>
          <w:rFonts w:ascii="Times New Roman" w:hAnsi="Times New Roman" w:cs="Times New Roman"/>
          <w:color w:val="1F497D" w:themeColor="text2"/>
          <w:sz w:val="24"/>
          <w:szCs w:val="24"/>
          <w:lang w:val="en-US"/>
        </w:rPr>
        <w:t xml:space="preserve"> following modification of the table</w:t>
      </w:r>
    </w:p>
    <w:p w14:paraId="4C382184" w14:textId="7F9055AB" w:rsidR="00E75ADB" w:rsidRPr="00CB7CFF" w:rsidRDefault="00E75ADB" w:rsidP="00D91D61">
      <w:pPr>
        <w:ind w:left="708" w:right="68"/>
        <w:jc w:val="both"/>
        <w:rPr>
          <w:rFonts w:ascii="Times New Roman" w:hAnsi="Times New Roman" w:cs="Times New Roman"/>
          <w:color w:val="1F497D" w:themeColor="text2"/>
          <w:sz w:val="24"/>
          <w:szCs w:val="24"/>
          <w:lang w:val="en-US"/>
        </w:rPr>
      </w:pPr>
      <w:r w:rsidRPr="00CB7CFF">
        <w:rPr>
          <w:rFonts w:ascii="Times New Roman" w:hAnsi="Times New Roman" w:cs="Times New Roman"/>
          <w:color w:val="1F497D" w:themeColor="text2"/>
          <w:sz w:val="24"/>
          <w:szCs w:val="24"/>
          <w:lang w:val="en-US"/>
        </w:rPr>
        <w:t xml:space="preserve">It follows the previous recommendations, especially the abolition of the terms ‘effective’ collaboration’ and ‘contract research’. </w:t>
      </w:r>
      <w:r w:rsidR="003B7CF6" w:rsidRPr="00CB7CFF">
        <w:rPr>
          <w:rFonts w:ascii="Times New Roman" w:hAnsi="Times New Roman" w:cs="Times New Roman"/>
          <w:color w:val="1F497D" w:themeColor="text2"/>
          <w:sz w:val="24"/>
          <w:szCs w:val="24"/>
          <w:lang w:val="en-US"/>
        </w:rPr>
        <w:t>Thus,</w:t>
      </w:r>
      <w:r w:rsidRPr="00CB7CFF">
        <w:rPr>
          <w:rFonts w:ascii="Times New Roman" w:hAnsi="Times New Roman" w:cs="Times New Roman"/>
          <w:color w:val="1F497D" w:themeColor="text2"/>
          <w:sz w:val="24"/>
          <w:szCs w:val="24"/>
          <w:lang w:val="en-US"/>
        </w:rPr>
        <w:t xml:space="preserve"> one line is omitted here. More, we suggest introducing one column with Public research organizations with 100% funding. It is unjust to ask public research organizations, that are fully publicly funded, to contribute to the project and if the industrial partner is asked to co-finance the project for the research institution it puts the research institution into unfavorable position e.g. in negotiations on terms </w:t>
      </w:r>
      <w:r w:rsidR="005E3AB1" w:rsidRPr="00CB7CFF">
        <w:rPr>
          <w:rFonts w:ascii="Times New Roman" w:hAnsi="Times New Roman" w:cs="Times New Roman"/>
          <w:color w:val="1F497D" w:themeColor="text2"/>
          <w:sz w:val="24"/>
          <w:szCs w:val="24"/>
          <w:lang w:val="en-US"/>
        </w:rPr>
        <w:t>in</w:t>
      </w:r>
      <w:r w:rsidRPr="00CB7CFF">
        <w:rPr>
          <w:rFonts w:ascii="Times New Roman" w:hAnsi="Times New Roman" w:cs="Times New Roman"/>
          <w:color w:val="1F497D" w:themeColor="text2"/>
          <w:sz w:val="24"/>
          <w:szCs w:val="24"/>
          <w:lang w:val="en-US"/>
        </w:rPr>
        <w:t xml:space="preserve"> IPR.</w:t>
      </w:r>
    </w:p>
    <w:p w14:paraId="343290BD" w14:textId="77777777" w:rsidR="00386A10" w:rsidRPr="00C35312" w:rsidRDefault="00386A10" w:rsidP="00D91D61">
      <w:pPr>
        <w:ind w:left="1404" w:right="68"/>
        <w:jc w:val="both"/>
        <w:rPr>
          <w:rFonts w:ascii="Times New Roman" w:hAnsi="Times New Roman" w:cs="Times New Roman"/>
          <w:i/>
          <w:color w:val="1F497D" w:themeColor="text2"/>
          <w:sz w:val="24"/>
          <w:szCs w:val="24"/>
          <w:lang w:val="en-US"/>
        </w:rPr>
      </w:pPr>
    </w:p>
    <w:tbl>
      <w:tblPr>
        <w:tblW w:w="7201" w:type="dxa"/>
        <w:tblLayout w:type="fixed"/>
        <w:tblCellMar>
          <w:left w:w="70" w:type="dxa"/>
          <w:right w:w="70" w:type="dxa"/>
        </w:tblCellMar>
        <w:tblLook w:val="04A0" w:firstRow="1" w:lastRow="0" w:firstColumn="1" w:lastColumn="0" w:noHBand="0" w:noVBand="1"/>
      </w:tblPr>
      <w:tblGrid>
        <w:gridCol w:w="2419"/>
        <w:gridCol w:w="1221"/>
        <w:gridCol w:w="1153"/>
        <w:gridCol w:w="1170"/>
        <w:gridCol w:w="1238"/>
      </w:tblGrid>
      <w:tr w:rsidR="00386A10" w:rsidRPr="00C35312" w14:paraId="1EE145FB" w14:textId="77777777" w:rsidTr="006A4845">
        <w:trPr>
          <w:trHeight w:val="915"/>
        </w:trPr>
        <w:tc>
          <w:tcPr>
            <w:tcW w:w="2419" w:type="dxa"/>
            <w:tcBorders>
              <w:top w:val="nil"/>
              <w:left w:val="nil"/>
              <w:bottom w:val="single" w:sz="4" w:space="0" w:color="auto"/>
              <w:right w:val="single" w:sz="4" w:space="0" w:color="auto"/>
            </w:tcBorders>
            <w:shd w:val="clear" w:color="auto" w:fill="auto"/>
            <w:vAlign w:val="bottom"/>
            <w:hideMark/>
          </w:tcPr>
          <w:p w14:paraId="12E77E86"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 </w:t>
            </w:r>
          </w:p>
        </w:tc>
        <w:tc>
          <w:tcPr>
            <w:tcW w:w="1221" w:type="dxa"/>
            <w:tcBorders>
              <w:top w:val="nil"/>
              <w:left w:val="nil"/>
              <w:bottom w:val="single" w:sz="4" w:space="0" w:color="auto"/>
              <w:right w:val="single" w:sz="4" w:space="0" w:color="auto"/>
            </w:tcBorders>
            <w:shd w:val="clear" w:color="auto" w:fill="auto"/>
            <w:vAlign w:val="bottom"/>
            <w:hideMark/>
          </w:tcPr>
          <w:p w14:paraId="55EDA8AE"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Public research organization</w:t>
            </w:r>
          </w:p>
        </w:tc>
        <w:tc>
          <w:tcPr>
            <w:tcW w:w="1153" w:type="dxa"/>
            <w:tcBorders>
              <w:top w:val="nil"/>
              <w:left w:val="nil"/>
              <w:bottom w:val="single" w:sz="4" w:space="0" w:color="auto"/>
              <w:right w:val="single" w:sz="4" w:space="0" w:color="auto"/>
            </w:tcBorders>
            <w:shd w:val="clear" w:color="auto" w:fill="auto"/>
            <w:vAlign w:val="bottom"/>
            <w:hideMark/>
          </w:tcPr>
          <w:p w14:paraId="196CF86D"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Small enterprise</w:t>
            </w:r>
          </w:p>
        </w:tc>
        <w:tc>
          <w:tcPr>
            <w:tcW w:w="1170" w:type="dxa"/>
            <w:tcBorders>
              <w:top w:val="nil"/>
              <w:left w:val="nil"/>
              <w:bottom w:val="single" w:sz="4" w:space="0" w:color="auto"/>
              <w:right w:val="single" w:sz="4" w:space="0" w:color="auto"/>
            </w:tcBorders>
            <w:shd w:val="clear" w:color="auto" w:fill="auto"/>
            <w:vAlign w:val="bottom"/>
            <w:hideMark/>
          </w:tcPr>
          <w:p w14:paraId="04831F94"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Medium-sized enterprise</w:t>
            </w:r>
          </w:p>
        </w:tc>
        <w:tc>
          <w:tcPr>
            <w:tcW w:w="1238" w:type="dxa"/>
            <w:tcBorders>
              <w:top w:val="nil"/>
              <w:left w:val="nil"/>
              <w:bottom w:val="single" w:sz="4" w:space="0" w:color="auto"/>
              <w:right w:val="nil"/>
            </w:tcBorders>
            <w:shd w:val="clear" w:color="auto" w:fill="auto"/>
            <w:vAlign w:val="bottom"/>
            <w:hideMark/>
          </w:tcPr>
          <w:p w14:paraId="355F2A29"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Large enterprise</w:t>
            </w:r>
          </w:p>
        </w:tc>
      </w:tr>
      <w:tr w:rsidR="00386A10" w:rsidRPr="00C35312" w14:paraId="4F81315F" w14:textId="77777777" w:rsidTr="006A4845">
        <w:trPr>
          <w:trHeight w:val="300"/>
        </w:trPr>
        <w:tc>
          <w:tcPr>
            <w:tcW w:w="2419" w:type="dxa"/>
            <w:tcBorders>
              <w:top w:val="nil"/>
              <w:left w:val="nil"/>
              <w:bottom w:val="single" w:sz="4" w:space="0" w:color="auto"/>
              <w:right w:val="single" w:sz="4" w:space="0" w:color="auto"/>
            </w:tcBorders>
            <w:shd w:val="clear" w:color="auto" w:fill="auto"/>
            <w:vAlign w:val="bottom"/>
            <w:hideMark/>
          </w:tcPr>
          <w:p w14:paraId="434674EB"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Aid for R&amp;D projects</w:t>
            </w:r>
          </w:p>
        </w:tc>
        <w:tc>
          <w:tcPr>
            <w:tcW w:w="1221" w:type="dxa"/>
            <w:tcBorders>
              <w:top w:val="nil"/>
              <w:left w:val="nil"/>
              <w:bottom w:val="single" w:sz="4" w:space="0" w:color="auto"/>
              <w:right w:val="single" w:sz="4" w:space="0" w:color="auto"/>
            </w:tcBorders>
            <w:shd w:val="clear" w:color="auto" w:fill="auto"/>
            <w:vAlign w:val="bottom"/>
            <w:hideMark/>
          </w:tcPr>
          <w:p w14:paraId="010020D5"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 </w:t>
            </w:r>
          </w:p>
        </w:tc>
        <w:tc>
          <w:tcPr>
            <w:tcW w:w="1153" w:type="dxa"/>
            <w:tcBorders>
              <w:top w:val="nil"/>
              <w:left w:val="nil"/>
              <w:bottom w:val="single" w:sz="4" w:space="0" w:color="auto"/>
              <w:right w:val="single" w:sz="4" w:space="0" w:color="auto"/>
            </w:tcBorders>
            <w:shd w:val="clear" w:color="auto" w:fill="auto"/>
            <w:vAlign w:val="bottom"/>
            <w:hideMark/>
          </w:tcPr>
          <w:p w14:paraId="7CF84D76"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 </w:t>
            </w:r>
          </w:p>
        </w:tc>
        <w:tc>
          <w:tcPr>
            <w:tcW w:w="1170" w:type="dxa"/>
            <w:tcBorders>
              <w:top w:val="nil"/>
              <w:left w:val="nil"/>
              <w:bottom w:val="single" w:sz="4" w:space="0" w:color="auto"/>
              <w:right w:val="single" w:sz="4" w:space="0" w:color="auto"/>
            </w:tcBorders>
            <w:shd w:val="clear" w:color="auto" w:fill="auto"/>
            <w:vAlign w:val="bottom"/>
            <w:hideMark/>
          </w:tcPr>
          <w:p w14:paraId="5CC0B003"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 </w:t>
            </w:r>
          </w:p>
        </w:tc>
        <w:tc>
          <w:tcPr>
            <w:tcW w:w="1238" w:type="dxa"/>
            <w:tcBorders>
              <w:top w:val="nil"/>
              <w:left w:val="nil"/>
              <w:bottom w:val="single" w:sz="4" w:space="0" w:color="auto"/>
              <w:right w:val="nil"/>
            </w:tcBorders>
            <w:shd w:val="clear" w:color="auto" w:fill="auto"/>
            <w:vAlign w:val="bottom"/>
            <w:hideMark/>
          </w:tcPr>
          <w:p w14:paraId="672D4A1D"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 </w:t>
            </w:r>
          </w:p>
        </w:tc>
      </w:tr>
      <w:tr w:rsidR="00386A10" w:rsidRPr="00C35312" w14:paraId="763A9865" w14:textId="77777777" w:rsidTr="006A4845">
        <w:trPr>
          <w:trHeight w:val="300"/>
        </w:trPr>
        <w:tc>
          <w:tcPr>
            <w:tcW w:w="2419" w:type="dxa"/>
            <w:tcBorders>
              <w:top w:val="nil"/>
              <w:left w:val="nil"/>
              <w:bottom w:val="single" w:sz="4" w:space="0" w:color="auto"/>
              <w:right w:val="single" w:sz="4" w:space="0" w:color="auto"/>
            </w:tcBorders>
            <w:shd w:val="clear" w:color="auto" w:fill="auto"/>
            <w:vAlign w:val="bottom"/>
            <w:hideMark/>
          </w:tcPr>
          <w:p w14:paraId="2A4FE680"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Fundamental research</w:t>
            </w:r>
          </w:p>
        </w:tc>
        <w:tc>
          <w:tcPr>
            <w:tcW w:w="1221" w:type="dxa"/>
            <w:tcBorders>
              <w:top w:val="nil"/>
              <w:left w:val="nil"/>
              <w:bottom w:val="single" w:sz="4" w:space="0" w:color="auto"/>
              <w:right w:val="single" w:sz="4" w:space="0" w:color="auto"/>
            </w:tcBorders>
            <w:shd w:val="clear" w:color="auto" w:fill="auto"/>
            <w:vAlign w:val="center"/>
            <w:hideMark/>
          </w:tcPr>
          <w:p w14:paraId="564A7FEF"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100%</w:t>
            </w:r>
          </w:p>
        </w:tc>
        <w:tc>
          <w:tcPr>
            <w:tcW w:w="1153" w:type="dxa"/>
            <w:tcBorders>
              <w:top w:val="nil"/>
              <w:left w:val="nil"/>
              <w:bottom w:val="single" w:sz="4" w:space="0" w:color="auto"/>
              <w:right w:val="single" w:sz="4" w:space="0" w:color="auto"/>
            </w:tcBorders>
            <w:shd w:val="clear" w:color="auto" w:fill="auto"/>
            <w:vAlign w:val="center"/>
            <w:hideMark/>
          </w:tcPr>
          <w:p w14:paraId="031ADFF3"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100%</w:t>
            </w:r>
          </w:p>
        </w:tc>
        <w:tc>
          <w:tcPr>
            <w:tcW w:w="1170" w:type="dxa"/>
            <w:tcBorders>
              <w:top w:val="nil"/>
              <w:left w:val="nil"/>
              <w:bottom w:val="single" w:sz="4" w:space="0" w:color="auto"/>
              <w:right w:val="single" w:sz="4" w:space="0" w:color="auto"/>
            </w:tcBorders>
            <w:shd w:val="clear" w:color="auto" w:fill="auto"/>
            <w:vAlign w:val="center"/>
            <w:hideMark/>
          </w:tcPr>
          <w:p w14:paraId="390E24E0"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100%</w:t>
            </w:r>
          </w:p>
        </w:tc>
        <w:tc>
          <w:tcPr>
            <w:tcW w:w="1238" w:type="dxa"/>
            <w:tcBorders>
              <w:top w:val="nil"/>
              <w:left w:val="nil"/>
              <w:bottom w:val="single" w:sz="4" w:space="0" w:color="auto"/>
              <w:right w:val="nil"/>
            </w:tcBorders>
            <w:shd w:val="clear" w:color="auto" w:fill="auto"/>
            <w:vAlign w:val="center"/>
            <w:hideMark/>
          </w:tcPr>
          <w:p w14:paraId="6EA976AC"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100%</w:t>
            </w:r>
          </w:p>
        </w:tc>
      </w:tr>
      <w:tr w:rsidR="00386A10" w:rsidRPr="00C35312" w14:paraId="22881E61" w14:textId="77777777" w:rsidTr="006A4845">
        <w:trPr>
          <w:trHeight w:val="300"/>
        </w:trPr>
        <w:tc>
          <w:tcPr>
            <w:tcW w:w="2419" w:type="dxa"/>
            <w:tcBorders>
              <w:top w:val="nil"/>
              <w:left w:val="nil"/>
              <w:bottom w:val="single" w:sz="4" w:space="0" w:color="auto"/>
              <w:right w:val="single" w:sz="4" w:space="0" w:color="auto"/>
            </w:tcBorders>
            <w:shd w:val="clear" w:color="auto" w:fill="auto"/>
            <w:vAlign w:val="bottom"/>
            <w:hideMark/>
          </w:tcPr>
          <w:p w14:paraId="40F55AE5"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Applied research</w:t>
            </w:r>
          </w:p>
        </w:tc>
        <w:tc>
          <w:tcPr>
            <w:tcW w:w="1221" w:type="dxa"/>
            <w:tcBorders>
              <w:top w:val="nil"/>
              <w:left w:val="nil"/>
              <w:bottom w:val="single" w:sz="4" w:space="0" w:color="auto"/>
              <w:right w:val="single" w:sz="4" w:space="0" w:color="auto"/>
            </w:tcBorders>
            <w:shd w:val="clear" w:color="auto" w:fill="auto"/>
            <w:vAlign w:val="center"/>
            <w:hideMark/>
          </w:tcPr>
          <w:p w14:paraId="1FACD4F1"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100%</w:t>
            </w:r>
          </w:p>
        </w:tc>
        <w:tc>
          <w:tcPr>
            <w:tcW w:w="1153" w:type="dxa"/>
            <w:tcBorders>
              <w:top w:val="nil"/>
              <w:left w:val="nil"/>
              <w:bottom w:val="single" w:sz="4" w:space="0" w:color="auto"/>
              <w:right w:val="single" w:sz="4" w:space="0" w:color="auto"/>
            </w:tcBorders>
            <w:shd w:val="clear" w:color="auto" w:fill="auto"/>
            <w:vAlign w:val="center"/>
            <w:hideMark/>
          </w:tcPr>
          <w:p w14:paraId="4471DB8C"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90%</w:t>
            </w:r>
          </w:p>
        </w:tc>
        <w:tc>
          <w:tcPr>
            <w:tcW w:w="1170" w:type="dxa"/>
            <w:tcBorders>
              <w:top w:val="nil"/>
              <w:left w:val="nil"/>
              <w:bottom w:val="single" w:sz="4" w:space="0" w:color="auto"/>
              <w:right w:val="single" w:sz="4" w:space="0" w:color="auto"/>
            </w:tcBorders>
            <w:shd w:val="clear" w:color="auto" w:fill="auto"/>
            <w:vAlign w:val="center"/>
            <w:hideMark/>
          </w:tcPr>
          <w:p w14:paraId="5F0053F6"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80%</w:t>
            </w:r>
          </w:p>
        </w:tc>
        <w:tc>
          <w:tcPr>
            <w:tcW w:w="1238" w:type="dxa"/>
            <w:tcBorders>
              <w:top w:val="nil"/>
              <w:left w:val="nil"/>
              <w:bottom w:val="single" w:sz="4" w:space="0" w:color="auto"/>
              <w:right w:val="nil"/>
            </w:tcBorders>
            <w:shd w:val="clear" w:color="auto" w:fill="auto"/>
            <w:vAlign w:val="center"/>
            <w:hideMark/>
          </w:tcPr>
          <w:p w14:paraId="2AA1F6DC"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70%</w:t>
            </w:r>
          </w:p>
        </w:tc>
      </w:tr>
      <w:tr w:rsidR="00386A10" w:rsidRPr="00C35312" w14:paraId="3CD7944A" w14:textId="77777777" w:rsidTr="006A4845">
        <w:trPr>
          <w:trHeight w:val="900"/>
        </w:trPr>
        <w:tc>
          <w:tcPr>
            <w:tcW w:w="2419" w:type="dxa"/>
            <w:tcBorders>
              <w:top w:val="nil"/>
              <w:left w:val="nil"/>
              <w:bottom w:val="single" w:sz="4" w:space="0" w:color="auto"/>
              <w:right w:val="single" w:sz="4" w:space="0" w:color="auto"/>
            </w:tcBorders>
            <w:shd w:val="clear" w:color="auto" w:fill="auto"/>
            <w:vAlign w:val="bottom"/>
            <w:hideMark/>
          </w:tcPr>
          <w:p w14:paraId="5B023B84"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Aid for the construction and upgrade of research infrastructures</w:t>
            </w:r>
          </w:p>
        </w:tc>
        <w:tc>
          <w:tcPr>
            <w:tcW w:w="1221" w:type="dxa"/>
            <w:tcBorders>
              <w:top w:val="nil"/>
              <w:left w:val="nil"/>
              <w:bottom w:val="single" w:sz="4" w:space="0" w:color="auto"/>
              <w:right w:val="single" w:sz="4" w:space="0" w:color="auto"/>
            </w:tcBorders>
            <w:shd w:val="clear" w:color="auto" w:fill="auto"/>
            <w:vAlign w:val="center"/>
            <w:hideMark/>
          </w:tcPr>
          <w:p w14:paraId="7FB20D58"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100%</w:t>
            </w:r>
          </w:p>
        </w:tc>
        <w:tc>
          <w:tcPr>
            <w:tcW w:w="3561" w:type="dxa"/>
            <w:gridSpan w:val="3"/>
            <w:tcBorders>
              <w:top w:val="single" w:sz="4" w:space="0" w:color="auto"/>
              <w:left w:val="nil"/>
              <w:bottom w:val="single" w:sz="4" w:space="0" w:color="auto"/>
              <w:right w:val="single" w:sz="4" w:space="0" w:color="auto"/>
            </w:tcBorders>
            <w:shd w:val="clear" w:color="auto" w:fill="auto"/>
            <w:vAlign w:val="center"/>
            <w:hideMark/>
          </w:tcPr>
          <w:p w14:paraId="6CB6D35D"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60%</w:t>
            </w:r>
          </w:p>
        </w:tc>
      </w:tr>
      <w:tr w:rsidR="00386A10" w:rsidRPr="00C35312" w14:paraId="3A6AF922" w14:textId="77777777" w:rsidTr="006A4845">
        <w:trPr>
          <w:trHeight w:val="900"/>
        </w:trPr>
        <w:tc>
          <w:tcPr>
            <w:tcW w:w="2419" w:type="dxa"/>
            <w:tcBorders>
              <w:top w:val="nil"/>
              <w:left w:val="nil"/>
              <w:bottom w:val="single" w:sz="4" w:space="0" w:color="auto"/>
              <w:right w:val="single" w:sz="4" w:space="0" w:color="auto"/>
            </w:tcBorders>
            <w:shd w:val="clear" w:color="auto" w:fill="auto"/>
            <w:vAlign w:val="bottom"/>
            <w:hideMark/>
          </w:tcPr>
          <w:p w14:paraId="3560BE50"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Aid for the construction and upgrade of technology infrastructures</w:t>
            </w:r>
          </w:p>
        </w:tc>
        <w:tc>
          <w:tcPr>
            <w:tcW w:w="4782" w:type="dxa"/>
            <w:gridSpan w:val="4"/>
            <w:tcBorders>
              <w:top w:val="single" w:sz="4" w:space="0" w:color="auto"/>
              <w:left w:val="nil"/>
              <w:bottom w:val="single" w:sz="4" w:space="0" w:color="auto"/>
              <w:right w:val="single" w:sz="4" w:space="0" w:color="auto"/>
            </w:tcBorders>
            <w:shd w:val="clear" w:color="auto" w:fill="auto"/>
            <w:vAlign w:val="center"/>
            <w:hideMark/>
          </w:tcPr>
          <w:p w14:paraId="5B71DE53"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[35%]</w:t>
            </w:r>
          </w:p>
        </w:tc>
      </w:tr>
      <w:tr w:rsidR="00386A10" w:rsidRPr="00C35312" w14:paraId="4E7A944C" w14:textId="77777777" w:rsidTr="006A4845">
        <w:trPr>
          <w:trHeight w:val="2700"/>
        </w:trPr>
        <w:tc>
          <w:tcPr>
            <w:tcW w:w="2419" w:type="dxa"/>
            <w:tcBorders>
              <w:top w:val="nil"/>
              <w:left w:val="nil"/>
              <w:bottom w:val="nil"/>
              <w:right w:val="single" w:sz="4" w:space="0" w:color="auto"/>
            </w:tcBorders>
            <w:shd w:val="clear" w:color="auto" w:fill="auto"/>
            <w:vAlign w:val="bottom"/>
            <w:hideMark/>
          </w:tcPr>
          <w:p w14:paraId="34E4652B" w14:textId="77777777" w:rsidR="00386A10" w:rsidRPr="00C35312" w:rsidRDefault="00386A10" w:rsidP="00D91D61">
            <w:pP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Subject to at least two Member States providing the public funding, or                       . Subject to the technology infrastructure providing services predominantly to SMEs (at least allocating 80% of its capacity for that purpose)</w:t>
            </w:r>
          </w:p>
        </w:tc>
        <w:tc>
          <w:tcPr>
            <w:tcW w:w="4782" w:type="dxa"/>
            <w:gridSpan w:val="4"/>
            <w:tcBorders>
              <w:top w:val="single" w:sz="4" w:space="0" w:color="auto"/>
              <w:left w:val="nil"/>
              <w:bottom w:val="nil"/>
              <w:right w:val="single" w:sz="4" w:space="0" w:color="auto"/>
            </w:tcBorders>
            <w:shd w:val="clear" w:color="auto" w:fill="auto"/>
            <w:vAlign w:val="center"/>
            <w:hideMark/>
          </w:tcPr>
          <w:p w14:paraId="3909F7F7" w14:textId="77777777" w:rsidR="00386A10" w:rsidRPr="00C35312" w:rsidRDefault="00386A10" w:rsidP="00D91D61">
            <w:pPr>
              <w:jc w:val="center"/>
              <w:rPr>
                <w:rFonts w:ascii="Times New Roman" w:hAnsi="Times New Roman" w:cs="Times New Roman"/>
                <w:color w:val="000000"/>
                <w:sz w:val="24"/>
                <w:szCs w:val="24"/>
                <w:lang w:val="en-US"/>
              </w:rPr>
            </w:pPr>
            <w:r w:rsidRPr="00C35312">
              <w:rPr>
                <w:rFonts w:ascii="Times New Roman" w:hAnsi="Times New Roman" w:cs="Times New Roman"/>
                <w:color w:val="000000"/>
                <w:sz w:val="24"/>
                <w:szCs w:val="24"/>
                <w:lang w:val="en-US"/>
              </w:rPr>
              <w:t>[40%]</w:t>
            </w:r>
          </w:p>
        </w:tc>
      </w:tr>
    </w:tbl>
    <w:p w14:paraId="4F981215" w14:textId="77777777" w:rsidR="00386A10" w:rsidRPr="00C35312" w:rsidRDefault="00386A10" w:rsidP="00D91D61">
      <w:pPr>
        <w:ind w:right="68"/>
        <w:jc w:val="both"/>
        <w:rPr>
          <w:rFonts w:ascii="Times New Roman" w:hAnsi="Times New Roman" w:cs="Times New Roman"/>
          <w:i/>
          <w:sz w:val="24"/>
          <w:szCs w:val="24"/>
          <w:lang w:val="en-US"/>
        </w:rPr>
      </w:pPr>
    </w:p>
    <w:p w14:paraId="17FA8DBE" w14:textId="4EF5FE4C" w:rsidR="00BC1A31" w:rsidRDefault="00C60C7C" w:rsidP="003F66E7">
      <w:pPr>
        <w:ind w:left="708" w:right="68"/>
        <w:jc w:val="both"/>
        <w:rPr>
          <w:rFonts w:ascii="Times New Roman" w:hAnsi="Times New Roman" w:cs="Times New Roman"/>
          <w:color w:val="1F497D" w:themeColor="text2"/>
          <w:sz w:val="24"/>
          <w:szCs w:val="24"/>
          <w:lang w:val="en-US"/>
        </w:rPr>
      </w:pPr>
      <w:r w:rsidRPr="00CB7CFF">
        <w:rPr>
          <w:rFonts w:ascii="Times New Roman" w:hAnsi="Times New Roman" w:cs="Times New Roman"/>
          <w:color w:val="1F497D" w:themeColor="text2"/>
          <w:sz w:val="24"/>
          <w:szCs w:val="24"/>
          <w:lang w:val="en-US"/>
        </w:rPr>
        <w:t>T</w:t>
      </w:r>
      <w:r w:rsidR="00BC1A31" w:rsidRPr="00CB7CFF">
        <w:rPr>
          <w:rFonts w:ascii="Times New Roman" w:hAnsi="Times New Roman" w:cs="Times New Roman"/>
          <w:color w:val="1F497D" w:themeColor="text2"/>
          <w:sz w:val="24"/>
          <w:szCs w:val="24"/>
          <w:lang w:val="en-US"/>
        </w:rPr>
        <w:t>he aid for the construction and upgrade of technology infrastructures shall be set to 40 %. This higher level could increase providing of R&amp;D&amp;I services which could have positive effects for competitiveness and growth of European union. For the same reason we also propose to increase the level of aid for research infrastructure up to 65 %, resp. 55 %.</w:t>
      </w:r>
    </w:p>
    <w:p w14:paraId="4E298FF6" w14:textId="77777777" w:rsidR="003955A4" w:rsidRPr="00CB7CFF" w:rsidRDefault="003955A4" w:rsidP="003F66E7">
      <w:pPr>
        <w:ind w:left="708" w:right="68"/>
        <w:jc w:val="both"/>
        <w:rPr>
          <w:rFonts w:ascii="Times New Roman" w:hAnsi="Times New Roman" w:cs="Times New Roman"/>
          <w:color w:val="1F497D" w:themeColor="text2"/>
          <w:sz w:val="24"/>
          <w:szCs w:val="24"/>
          <w:lang w:val="en-US"/>
        </w:rPr>
      </w:pPr>
    </w:p>
    <w:p w14:paraId="335D8681" w14:textId="77777777" w:rsidR="00F452C3" w:rsidRPr="00C35312" w:rsidRDefault="00F452C3" w:rsidP="00D91D61">
      <w:pPr>
        <w:pStyle w:val="Odstavecseseznamem"/>
        <w:numPr>
          <w:ilvl w:val="0"/>
          <w:numId w:val="1"/>
        </w:numPr>
        <w:ind w:firstLine="0"/>
        <w:rPr>
          <w:rFonts w:ascii="Times New Roman" w:hAnsi="Times New Roman" w:cs="Times New Roman"/>
          <w:sz w:val="24"/>
          <w:szCs w:val="24"/>
          <w:lang w:val="en-US"/>
        </w:rPr>
      </w:pPr>
      <w:r w:rsidRPr="00C35312">
        <w:rPr>
          <w:rFonts w:ascii="Times New Roman" w:hAnsi="Times New Roman" w:cs="Times New Roman"/>
          <w:sz w:val="24"/>
          <w:szCs w:val="24"/>
          <w:lang w:val="en-US"/>
        </w:rPr>
        <w:t>COMPATIBILITY ASSESSMENT OF R&amp;D&amp;I AID</w:t>
      </w:r>
    </w:p>
    <w:p w14:paraId="25FDDCB4" w14:textId="77777777" w:rsidR="006D484D" w:rsidRPr="00C35312" w:rsidRDefault="006D484D" w:rsidP="00D91D61">
      <w:pPr>
        <w:pStyle w:val="Odstavecseseznamem"/>
        <w:rPr>
          <w:rFonts w:ascii="Times New Roman" w:hAnsi="Times New Roman" w:cs="Times New Roman"/>
          <w:sz w:val="24"/>
          <w:szCs w:val="24"/>
          <w:lang w:val="en-US"/>
        </w:rPr>
      </w:pPr>
    </w:p>
    <w:p w14:paraId="1708B711" w14:textId="77777777" w:rsidR="0075209F" w:rsidRPr="00C35312" w:rsidRDefault="0075209F" w:rsidP="00D91D61">
      <w:pPr>
        <w:pStyle w:val="Odstavecseseznamem"/>
        <w:rPr>
          <w:rFonts w:ascii="Times New Roman" w:hAnsi="Times New Roman" w:cs="Times New Roman"/>
          <w:sz w:val="24"/>
          <w:szCs w:val="24"/>
          <w:lang w:val="en-US"/>
        </w:rPr>
      </w:pPr>
      <w:r w:rsidRPr="00C35312">
        <w:rPr>
          <w:rFonts w:ascii="Times New Roman" w:hAnsi="Times New Roman" w:cs="Times New Roman"/>
          <w:sz w:val="24"/>
          <w:szCs w:val="24"/>
          <w:lang w:val="en-US"/>
        </w:rPr>
        <w:t>3.2.4 Transparency</w:t>
      </w:r>
    </w:p>
    <w:p w14:paraId="4463BA34" w14:textId="4CD2763C" w:rsidR="0075209F" w:rsidRDefault="00C60C7C" w:rsidP="008420C2">
      <w:pPr>
        <w:autoSpaceDE w:val="0"/>
        <w:autoSpaceDN w:val="0"/>
        <w:adjustRightInd w:val="0"/>
        <w:spacing w:after="0" w:line="240" w:lineRule="auto"/>
        <w:ind w:firstLine="708"/>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Article </w:t>
      </w:r>
      <w:r w:rsidR="0075209F" w:rsidRPr="00C35312">
        <w:rPr>
          <w:rFonts w:ascii="Times New Roman" w:hAnsi="Times New Roman" w:cs="Times New Roman"/>
          <w:color w:val="000000"/>
          <w:sz w:val="24"/>
          <w:szCs w:val="24"/>
          <w:lang w:val="en-US"/>
        </w:rPr>
        <w:t>101</w:t>
      </w:r>
      <w:r>
        <w:rPr>
          <w:rFonts w:ascii="Times New Roman" w:hAnsi="Times New Roman" w:cs="Times New Roman"/>
          <w:color w:val="000000"/>
          <w:sz w:val="24"/>
          <w:szCs w:val="24"/>
          <w:lang w:val="en-US"/>
        </w:rPr>
        <w:t xml:space="preserve"> </w:t>
      </w:r>
    </w:p>
    <w:p w14:paraId="410EBDE1" w14:textId="77777777" w:rsidR="008420C2" w:rsidRDefault="008420C2" w:rsidP="00D91D61">
      <w:pPr>
        <w:autoSpaceDE w:val="0"/>
        <w:autoSpaceDN w:val="0"/>
        <w:adjustRightInd w:val="0"/>
        <w:spacing w:after="0" w:line="240" w:lineRule="auto"/>
        <w:ind w:left="1276"/>
        <w:jc w:val="both"/>
        <w:rPr>
          <w:rFonts w:ascii="Times New Roman" w:hAnsi="Times New Roman" w:cs="Times New Roman"/>
          <w:color w:val="000000"/>
          <w:sz w:val="24"/>
          <w:szCs w:val="24"/>
          <w:lang w:val="en-US"/>
        </w:rPr>
      </w:pPr>
    </w:p>
    <w:p w14:paraId="3E73D5D3" w14:textId="29B7AA32" w:rsidR="0075209F" w:rsidRPr="005E3AB1" w:rsidRDefault="00712ED0" w:rsidP="003F66E7">
      <w:pPr>
        <w:autoSpaceDE w:val="0"/>
        <w:autoSpaceDN w:val="0"/>
        <w:adjustRightInd w:val="0"/>
        <w:spacing w:after="0" w:line="240" w:lineRule="auto"/>
        <w:ind w:left="708"/>
        <w:jc w:val="both"/>
        <w:rPr>
          <w:rFonts w:ascii="Times New Roman" w:hAnsi="Times New Roman" w:cs="Times New Roman"/>
          <w:color w:val="00B050"/>
          <w:sz w:val="24"/>
          <w:szCs w:val="24"/>
          <w:lang w:val="en-US"/>
        </w:rPr>
      </w:pPr>
      <w:r w:rsidRPr="00427969">
        <w:rPr>
          <w:rFonts w:ascii="Times New Roman" w:hAnsi="Times New Roman" w:cs="Times New Roman"/>
          <w:color w:val="1F497D" w:themeColor="text2"/>
          <w:sz w:val="24"/>
          <w:szCs w:val="24"/>
          <w:lang w:val="en-US"/>
        </w:rPr>
        <w:t xml:space="preserve">We </w:t>
      </w:r>
      <w:r w:rsidR="0075209F" w:rsidRPr="00427969">
        <w:rPr>
          <w:rFonts w:ascii="Times New Roman" w:hAnsi="Times New Roman" w:cs="Times New Roman"/>
          <w:color w:val="1F497D" w:themeColor="text2"/>
          <w:sz w:val="24"/>
          <w:szCs w:val="24"/>
          <w:lang w:val="en-US"/>
        </w:rPr>
        <w:t>disagree to transparency threshold of EUR 100 000.</w:t>
      </w:r>
      <w:r w:rsidR="0075209F" w:rsidRPr="005E3AB1">
        <w:rPr>
          <w:rFonts w:ascii="Times New Roman" w:hAnsi="Times New Roman" w:cs="Times New Roman"/>
          <w:color w:val="0070C0"/>
          <w:sz w:val="24"/>
          <w:szCs w:val="24"/>
          <w:lang w:val="en-US"/>
        </w:rPr>
        <w:t xml:space="preserve"> </w:t>
      </w:r>
      <w:r w:rsidR="0075209F" w:rsidRPr="00427969">
        <w:rPr>
          <w:rFonts w:ascii="Times New Roman" w:hAnsi="Times New Roman" w:cs="Times New Roman"/>
          <w:color w:val="1F497D" w:themeColor="text2"/>
          <w:sz w:val="24"/>
          <w:szCs w:val="24"/>
          <w:lang w:val="en-US"/>
        </w:rPr>
        <w:t>The amount should stay in line with the threshold that is already well established in the general State aid framework, i.e. EUR 500 000 for i</w:t>
      </w:r>
      <w:r w:rsidR="009E13AD">
        <w:rPr>
          <w:rFonts w:ascii="Times New Roman" w:hAnsi="Times New Roman" w:cs="Times New Roman"/>
          <w:color w:val="1F497D" w:themeColor="text2"/>
          <w:sz w:val="24"/>
          <w:szCs w:val="24"/>
          <w:lang w:val="en-US"/>
        </w:rPr>
        <w:t>ndividual aid awards. From our</w:t>
      </w:r>
      <w:r w:rsidR="0075209F" w:rsidRPr="00427969">
        <w:rPr>
          <w:rFonts w:ascii="Times New Roman" w:hAnsi="Times New Roman" w:cs="Times New Roman"/>
          <w:color w:val="1F497D" w:themeColor="text2"/>
          <w:sz w:val="24"/>
          <w:szCs w:val="24"/>
          <w:lang w:val="en-US"/>
        </w:rPr>
        <w:t xml:space="preserve"> perspective, coherence of the EU State aid rules should be maintained</w:t>
      </w:r>
      <w:r w:rsidR="005E3AB1" w:rsidRPr="00427969">
        <w:rPr>
          <w:rFonts w:ascii="Times New Roman" w:hAnsi="Times New Roman" w:cs="Times New Roman"/>
          <w:color w:val="1F497D" w:themeColor="text2"/>
          <w:sz w:val="24"/>
          <w:szCs w:val="24"/>
          <w:lang w:val="en-US"/>
        </w:rPr>
        <w:t>. We</w:t>
      </w:r>
      <w:r w:rsidR="0075209F" w:rsidRPr="00427969">
        <w:rPr>
          <w:rFonts w:ascii="Times New Roman" w:hAnsi="Times New Roman" w:cs="Times New Roman"/>
          <w:color w:val="1F497D" w:themeColor="text2"/>
          <w:sz w:val="24"/>
          <w:szCs w:val="24"/>
          <w:lang w:val="en-US"/>
        </w:rPr>
        <w:t xml:space="preserve"> understand the lower threshold of EUR 100 000 </w:t>
      </w:r>
      <w:r w:rsidR="005E3AB1" w:rsidRPr="00427969">
        <w:rPr>
          <w:rFonts w:ascii="Times New Roman" w:hAnsi="Times New Roman" w:cs="Times New Roman"/>
          <w:color w:val="1F497D" w:themeColor="text2"/>
          <w:sz w:val="24"/>
          <w:szCs w:val="24"/>
          <w:lang w:val="en-US"/>
        </w:rPr>
        <w:t xml:space="preserve">was </w:t>
      </w:r>
      <w:r w:rsidR="0075209F" w:rsidRPr="00427969">
        <w:rPr>
          <w:rFonts w:ascii="Times New Roman" w:hAnsi="Times New Roman" w:cs="Times New Roman"/>
          <w:color w:val="1F497D" w:themeColor="text2"/>
          <w:sz w:val="24"/>
          <w:szCs w:val="24"/>
          <w:lang w:val="en-US"/>
        </w:rPr>
        <w:t xml:space="preserve">introduced by the </w:t>
      </w:r>
      <w:r w:rsidR="0075209F" w:rsidRPr="00427969">
        <w:rPr>
          <w:rFonts w:ascii="Times New Roman" w:hAnsi="Times New Roman" w:cs="Times New Roman"/>
          <w:iCs/>
          <w:color w:val="1F497D" w:themeColor="text2"/>
          <w:sz w:val="24"/>
          <w:szCs w:val="24"/>
          <w:lang w:val="en-US"/>
        </w:rPr>
        <w:t>Temporary Framework for State aid measures to support the economy in the current COVID-19 outbreak</w:t>
      </w:r>
      <w:r w:rsidR="0075209F" w:rsidRPr="00427969">
        <w:rPr>
          <w:rFonts w:ascii="Times New Roman" w:hAnsi="Times New Roman" w:cs="Times New Roman"/>
          <w:color w:val="1F497D" w:themeColor="text2"/>
          <w:sz w:val="24"/>
          <w:szCs w:val="24"/>
          <w:lang w:val="en-US"/>
        </w:rPr>
        <w:t>, indeed, purely as a temporary exception for the limited time when dealing with negative impacts of the coronavirus crisis.</w:t>
      </w:r>
      <w:r w:rsidR="0075209F" w:rsidRPr="005E3AB1">
        <w:rPr>
          <w:rFonts w:ascii="Times New Roman" w:hAnsi="Times New Roman" w:cs="Times New Roman"/>
          <w:color w:val="0070C0"/>
          <w:sz w:val="24"/>
          <w:szCs w:val="24"/>
          <w:lang w:val="en-US"/>
        </w:rPr>
        <w:t xml:space="preserve"> </w:t>
      </w:r>
      <w:r w:rsidR="0075209F" w:rsidRPr="00427969">
        <w:rPr>
          <w:rFonts w:ascii="Times New Roman" w:hAnsi="Times New Roman" w:cs="Times New Roman"/>
          <w:color w:val="1F497D" w:themeColor="text2"/>
          <w:sz w:val="24"/>
          <w:szCs w:val="24"/>
          <w:lang w:val="en-US"/>
        </w:rPr>
        <w:t xml:space="preserve">Lowering the transparency threshold permanently from EUR 500 000 to EUR 100 000 within the RDI Framework would only significantly increase the administrative burden for the granting authorities. </w:t>
      </w:r>
      <w:r w:rsidR="005E3AB1">
        <w:rPr>
          <w:rFonts w:ascii="Times New Roman" w:hAnsi="Times New Roman" w:cs="Times New Roman"/>
          <w:color w:val="1F497D" w:themeColor="text2"/>
          <w:sz w:val="24"/>
          <w:szCs w:val="24"/>
          <w:lang w:val="en-US"/>
        </w:rPr>
        <w:t>We</w:t>
      </w:r>
      <w:r w:rsidR="005E3AB1" w:rsidRPr="00427969">
        <w:rPr>
          <w:rFonts w:ascii="Times New Roman" w:hAnsi="Times New Roman" w:cs="Times New Roman"/>
          <w:color w:val="1F497D" w:themeColor="text2"/>
          <w:sz w:val="24"/>
          <w:szCs w:val="24"/>
          <w:lang w:val="en-US"/>
        </w:rPr>
        <w:t xml:space="preserve"> </w:t>
      </w:r>
      <w:r w:rsidR="0075209F" w:rsidRPr="00427969">
        <w:rPr>
          <w:rFonts w:ascii="Times New Roman" w:hAnsi="Times New Roman" w:cs="Times New Roman"/>
          <w:color w:val="1F497D" w:themeColor="text2"/>
          <w:sz w:val="24"/>
          <w:szCs w:val="24"/>
          <w:lang w:val="en-US"/>
        </w:rPr>
        <w:t>see no benefit in this step.</w:t>
      </w:r>
    </w:p>
    <w:p w14:paraId="7CDED42B" w14:textId="77777777" w:rsidR="00902629" w:rsidRPr="00427969" w:rsidRDefault="00902629" w:rsidP="003F66E7">
      <w:pPr>
        <w:pStyle w:val="Odstavecseseznamem"/>
        <w:ind w:left="1843"/>
        <w:jc w:val="both"/>
        <w:rPr>
          <w:rFonts w:ascii="Times New Roman" w:hAnsi="Times New Roman" w:cs="Times New Roman"/>
          <w:color w:val="1F497D" w:themeColor="text2"/>
          <w:sz w:val="24"/>
          <w:szCs w:val="24"/>
          <w:lang w:val="en-US"/>
        </w:rPr>
      </w:pPr>
    </w:p>
    <w:p w14:paraId="0CD9F8A5" w14:textId="77777777" w:rsidR="00902629" w:rsidRPr="00C35312" w:rsidRDefault="00902629" w:rsidP="00D91D61">
      <w:pPr>
        <w:pStyle w:val="Odstavecseseznamem"/>
        <w:ind w:left="1276"/>
        <w:jc w:val="both"/>
        <w:rPr>
          <w:rFonts w:ascii="Times New Roman" w:hAnsi="Times New Roman" w:cs="Times New Roman"/>
          <w:i/>
          <w:color w:val="1F497D" w:themeColor="text2"/>
          <w:sz w:val="24"/>
          <w:szCs w:val="24"/>
          <w:lang w:val="en-US"/>
        </w:rPr>
      </w:pPr>
    </w:p>
    <w:p w14:paraId="5FF7987F" w14:textId="77777777" w:rsidR="00F452C3" w:rsidRPr="00C35312" w:rsidRDefault="00F452C3" w:rsidP="00D91D61">
      <w:pPr>
        <w:pStyle w:val="Odstavecseseznamem"/>
        <w:numPr>
          <w:ilvl w:val="0"/>
          <w:numId w:val="1"/>
        </w:numPr>
        <w:ind w:firstLine="0"/>
        <w:rPr>
          <w:rFonts w:ascii="Times New Roman" w:hAnsi="Times New Roman" w:cs="Times New Roman"/>
          <w:sz w:val="24"/>
          <w:szCs w:val="24"/>
          <w:lang w:val="en-US"/>
        </w:rPr>
      </w:pPr>
      <w:r w:rsidRPr="00C35312">
        <w:rPr>
          <w:rFonts w:ascii="Times New Roman" w:hAnsi="Times New Roman" w:cs="Times New Roman"/>
          <w:sz w:val="24"/>
          <w:szCs w:val="24"/>
          <w:lang w:val="en-US"/>
        </w:rPr>
        <w:t>REPORTING AND MONITORING</w:t>
      </w:r>
    </w:p>
    <w:p w14:paraId="38A231F4" w14:textId="77777777" w:rsidR="002532A3" w:rsidRPr="00C35312" w:rsidRDefault="002532A3" w:rsidP="00D91D61">
      <w:pPr>
        <w:pStyle w:val="Odstavecseseznamem"/>
        <w:rPr>
          <w:rFonts w:ascii="Times New Roman" w:hAnsi="Times New Roman" w:cs="Times New Roman"/>
          <w:sz w:val="24"/>
          <w:szCs w:val="24"/>
          <w:lang w:val="en-US"/>
        </w:rPr>
      </w:pPr>
    </w:p>
    <w:p w14:paraId="15D2E12E" w14:textId="6D9748A9" w:rsidR="002532A3" w:rsidRDefault="00792831" w:rsidP="00D91D61">
      <w:pPr>
        <w:pStyle w:val="Odstavecseseznamem"/>
        <w:rPr>
          <w:rFonts w:ascii="Times New Roman" w:hAnsi="Times New Roman" w:cs="Times New Roman"/>
          <w:sz w:val="24"/>
          <w:szCs w:val="24"/>
          <w:lang w:val="en-US"/>
        </w:rPr>
      </w:pPr>
      <w:r>
        <w:rPr>
          <w:rFonts w:ascii="Times New Roman" w:hAnsi="Times New Roman" w:cs="Times New Roman"/>
          <w:sz w:val="24"/>
          <w:szCs w:val="24"/>
          <w:lang w:val="en-US"/>
        </w:rPr>
        <w:t xml:space="preserve">Article </w:t>
      </w:r>
      <w:r w:rsidR="002532A3" w:rsidRPr="00C35312">
        <w:rPr>
          <w:rFonts w:ascii="Times New Roman" w:hAnsi="Times New Roman" w:cs="Times New Roman"/>
          <w:sz w:val="24"/>
          <w:szCs w:val="24"/>
          <w:lang w:val="en-US"/>
        </w:rPr>
        <w:t>147</w:t>
      </w:r>
    </w:p>
    <w:p w14:paraId="56154E5E" w14:textId="532A1811" w:rsidR="002532A3" w:rsidRPr="00C35312" w:rsidRDefault="00712ED0" w:rsidP="008420C2">
      <w:pPr>
        <w:pStyle w:val="Odstavecseseznamem"/>
        <w:ind w:left="709"/>
        <w:rPr>
          <w:rFonts w:ascii="Times New Roman" w:hAnsi="Times New Roman" w:cs="Times New Roman"/>
          <w:color w:val="1F497D" w:themeColor="text2"/>
          <w:sz w:val="24"/>
          <w:szCs w:val="24"/>
          <w:lang w:val="en-US"/>
        </w:rPr>
      </w:pPr>
      <w:r>
        <w:rPr>
          <w:rFonts w:ascii="Times New Roman" w:hAnsi="Times New Roman" w:cs="Times New Roman"/>
          <w:color w:val="1F497D" w:themeColor="text2"/>
          <w:sz w:val="24"/>
          <w:szCs w:val="24"/>
          <w:lang w:val="en-US"/>
        </w:rPr>
        <w:t xml:space="preserve">We </w:t>
      </w:r>
      <w:r w:rsidR="00670709" w:rsidRPr="00C35312">
        <w:rPr>
          <w:rFonts w:ascii="Times New Roman" w:hAnsi="Times New Roman" w:cs="Times New Roman"/>
          <w:color w:val="1F497D" w:themeColor="text2"/>
          <w:sz w:val="24"/>
          <w:szCs w:val="24"/>
          <w:lang w:val="en-US"/>
        </w:rPr>
        <w:t>propose to update link to current Council Regulation (EC) No 2015/1589 instead</w:t>
      </w:r>
      <w:r w:rsidR="00427969">
        <w:rPr>
          <w:rFonts w:ascii="Times New Roman" w:hAnsi="Times New Roman" w:cs="Times New Roman"/>
          <w:color w:val="1F497D" w:themeColor="text2"/>
          <w:sz w:val="24"/>
          <w:szCs w:val="24"/>
          <w:lang w:val="en-US"/>
        </w:rPr>
        <w:t xml:space="preserve"> </w:t>
      </w:r>
      <w:r w:rsidR="00670709" w:rsidRPr="00C35312">
        <w:rPr>
          <w:rFonts w:ascii="Times New Roman" w:hAnsi="Times New Roman" w:cs="Times New Roman"/>
          <w:color w:val="1F497D" w:themeColor="text2"/>
          <w:sz w:val="24"/>
          <w:szCs w:val="24"/>
          <w:lang w:val="en-US"/>
        </w:rPr>
        <w:t>of Council Regulation (EC) No 659/1999.</w:t>
      </w:r>
    </w:p>
    <w:p w14:paraId="0A6C4FE2" w14:textId="77777777" w:rsidR="002532A3" w:rsidRPr="00C35312" w:rsidRDefault="002532A3" w:rsidP="00D91D61">
      <w:pPr>
        <w:pStyle w:val="Odstavecseseznamem"/>
        <w:ind w:left="1068"/>
        <w:rPr>
          <w:rFonts w:ascii="Times New Roman" w:hAnsi="Times New Roman" w:cs="Times New Roman"/>
          <w:color w:val="1F497D" w:themeColor="text2"/>
          <w:sz w:val="24"/>
          <w:szCs w:val="24"/>
          <w:lang w:val="en-US"/>
        </w:rPr>
      </w:pPr>
    </w:p>
    <w:p w14:paraId="78413B82" w14:textId="77777777" w:rsidR="00670709" w:rsidRPr="00C35312" w:rsidRDefault="00670709" w:rsidP="00D91D61">
      <w:pPr>
        <w:pStyle w:val="Odstavecseseznamem"/>
        <w:rPr>
          <w:rFonts w:ascii="Times New Roman" w:hAnsi="Times New Roman" w:cs="Times New Roman"/>
          <w:sz w:val="24"/>
          <w:szCs w:val="24"/>
          <w:lang w:val="en-US"/>
        </w:rPr>
      </w:pPr>
    </w:p>
    <w:p w14:paraId="7994E315" w14:textId="77777777" w:rsidR="00F452C3" w:rsidRPr="00C35312" w:rsidRDefault="00F452C3" w:rsidP="00D91D61">
      <w:pPr>
        <w:pStyle w:val="Odstavecseseznamem"/>
        <w:numPr>
          <w:ilvl w:val="0"/>
          <w:numId w:val="1"/>
        </w:numPr>
        <w:ind w:firstLine="0"/>
        <w:rPr>
          <w:rFonts w:ascii="Times New Roman" w:hAnsi="Times New Roman" w:cs="Times New Roman"/>
          <w:sz w:val="24"/>
          <w:szCs w:val="24"/>
          <w:lang w:val="en-US"/>
        </w:rPr>
      </w:pPr>
      <w:r w:rsidRPr="00C35312">
        <w:rPr>
          <w:rFonts w:ascii="Times New Roman" w:hAnsi="Times New Roman" w:cs="Times New Roman"/>
          <w:sz w:val="24"/>
          <w:szCs w:val="24"/>
          <w:lang w:val="en-US"/>
        </w:rPr>
        <w:t>APPLICABILITY</w:t>
      </w:r>
    </w:p>
    <w:p w14:paraId="72C87425" w14:textId="77777777" w:rsidR="008420C2" w:rsidRDefault="008420C2" w:rsidP="00D91D61">
      <w:pPr>
        <w:pStyle w:val="Odstavecseseznamem"/>
        <w:jc w:val="both"/>
        <w:rPr>
          <w:rFonts w:ascii="Times New Roman" w:hAnsi="Times New Roman" w:cs="Times New Roman"/>
          <w:sz w:val="24"/>
          <w:szCs w:val="24"/>
          <w:lang w:val="en-US"/>
        </w:rPr>
      </w:pPr>
    </w:p>
    <w:p w14:paraId="54E629D3" w14:textId="69155771" w:rsidR="00792831" w:rsidRDefault="00792831" w:rsidP="008D37BC">
      <w:pPr>
        <w:pStyle w:val="Odstavecseseznamem"/>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Article </w:t>
      </w:r>
      <w:r w:rsidR="006910C0" w:rsidRPr="00C35312">
        <w:rPr>
          <w:rFonts w:ascii="Times New Roman" w:hAnsi="Times New Roman" w:cs="Times New Roman"/>
          <w:sz w:val="24"/>
          <w:szCs w:val="24"/>
          <w:lang w:val="en-US"/>
        </w:rPr>
        <w:t xml:space="preserve">150 </w:t>
      </w:r>
    </w:p>
    <w:p w14:paraId="26B8C378" w14:textId="77777777" w:rsidR="007E39EE" w:rsidRDefault="00712ED0" w:rsidP="00D91D61">
      <w:pPr>
        <w:spacing w:after="240"/>
        <w:ind w:left="708"/>
        <w:jc w:val="both"/>
        <w:rPr>
          <w:rFonts w:ascii="Times New Roman" w:hAnsi="Times New Roman" w:cs="Times New Roman"/>
          <w:color w:val="1F497D" w:themeColor="text2"/>
          <w:sz w:val="24"/>
          <w:szCs w:val="24"/>
          <w:lang w:val="en-US"/>
        </w:rPr>
      </w:pPr>
      <w:r>
        <w:rPr>
          <w:rFonts w:ascii="Times New Roman" w:hAnsi="Times New Roman" w:cs="Times New Roman"/>
          <w:color w:val="1F497D" w:themeColor="text2"/>
          <w:sz w:val="24"/>
          <w:szCs w:val="24"/>
          <w:lang w:val="en-US"/>
        </w:rPr>
        <w:t xml:space="preserve">We </w:t>
      </w:r>
      <w:r w:rsidR="006910C0" w:rsidRPr="00C35312">
        <w:rPr>
          <w:rFonts w:ascii="Times New Roman" w:hAnsi="Times New Roman" w:cs="Times New Roman"/>
          <w:color w:val="1F497D" w:themeColor="text2"/>
          <w:sz w:val="24"/>
          <w:szCs w:val="24"/>
          <w:lang w:val="en-US"/>
        </w:rPr>
        <w:t>would like to be confirmed in opinion, that the modified version of the R&amp;D state aid framework shall not be applied retroactively and shall be applied only for aid measures provided after the new framework will come into force.</w:t>
      </w:r>
      <w:r w:rsidR="007E39EE" w:rsidRPr="007E39EE">
        <w:rPr>
          <w:rFonts w:ascii="Times New Roman" w:hAnsi="Times New Roman" w:cs="Times New Roman"/>
          <w:color w:val="1F497D" w:themeColor="text2"/>
          <w:sz w:val="24"/>
          <w:szCs w:val="24"/>
          <w:lang w:val="en-US"/>
        </w:rPr>
        <w:t xml:space="preserve"> </w:t>
      </w:r>
    </w:p>
    <w:p w14:paraId="0782D13B" w14:textId="0CB8C05F" w:rsidR="007E39EE" w:rsidRPr="00C35312" w:rsidRDefault="007E39EE" w:rsidP="00D91D61">
      <w:pPr>
        <w:spacing w:after="240"/>
        <w:ind w:left="708"/>
        <w:jc w:val="both"/>
        <w:rPr>
          <w:rFonts w:ascii="Times New Roman" w:hAnsi="Times New Roman" w:cs="Times New Roman"/>
          <w:color w:val="1F497D" w:themeColor="text2"/>
          <w:sz w:val="24"/>
          <w:szCs w:val="24"/>
          <w:lang w:val="en-US"/>
        </w:rPr>
      </w:pPr>
      <w:r w:rsidRPr="00CB7CFF">
        <w:rPr>
          <w:rFonts w:ascii="Times New Roman" w:hAnsi="Times New Roman" w:cs="Times New Roman"/>
          <w:color w:val="1F497D" w:themeColor="text2"/>
          <w:sz w:val="24"/>
          <w:szCs w:val="24"/>
          <w:lang w:val="en-US"/>
        </w:rPr>
        <w:t>Moreover, we would like to ask for clarification whether compliance with this Framework shall include also monitoring of the ancillary character of economic activity envisaged in point 22. We are of an opinion that the monitoring shall not be applied retroactively and shall be applied only for aid measures provided after the new framework will come into the force.</w:t>
      </w:r>
    </w:p>
    <w:p w14:paraId="7D223E16" w14:textId="5738C719" w:rsidR="00025054" w:rsidRPr="00CB7CFF" w:rsidRDefault="00663340" w:rsidP="00025054">
      <w:pPr>
        <w:ind w:left="708" w:right="68"/>
        <w:jc w:val="both"/>
        <w:rPr>
          <w:rFonts w:ascii="Times New Roman" w:hAnsi="Times New Roman" w:cs="Times New Roman"/>
          <w:color w:val="1F497D" w:themeColor="text2"/>
          <w:sz w:val="24"/>
          <w:szCs w:val="24"/>
          <w:lang w:val="en-US"/>
        </w:rPr>
      </w:pPr>
      <w:r>
        <w:rPr>
          <w:rFonts w:ascii="Times New Roman" w:hAnsi="Times New Roman" w:cs="Times New Roman"/>
          <w:color w:val="1F497D" w:themeColor="text2"/>
          <w:sz w:val="24"/>
          <w:szCs w:val="24"/>
          <w:lang w:val="en-US"/>
        </w:rPr>
        <w:t>In addition</w:t>
      </w:r>
      <w:r w:rsidR="00017573">
        <w:rPr>
          <w:rFonts w:ascii="Times New Roman" w:hAnsi="Times New Roman" w:cs="Times New Roman"/>
          <w:color w:val="1F497D" w:themeColor="text2"/>
          <w:sz w:val="24"/>
          <w:szCs w:val="24"/>
          <w:lang w:val="en-US"/>
        </w:rPr>
        <w:t xml:space="preserve"> to </w:t>
      </w:r>
      <w:r w:rsidR="008E5B11">
        <w:rPr>
          <w:rFonts w:ascii="Times New Roman" w:hAnsi="Times New Roman" w:cs="Times New Roman"/>
          <w:color w:val="1F497D" w:themeColor="text2"/>
          <w:sz w:val="24"/>
          <w:szCs w:val="24"/>
          <w:lang w:val="en-US"/>
        </w:rPr>
        <w:t xml:space="preserve">all </w:t>
      </w:r>
      <w:r w:rsidR="00017573">
        <w:rPr>
          <w:rFonts w:ascii="Times New Roman" w:hAnsi="Times New Roman" w:cs="Times New Roman"/>
          <w:color w:val="1F497D" w:themeColor="text2"/>
          <w:sz w:val="24"/>
          <w:szCs w:val="24"/>
          <w:lang w:val="en-US"/>
        </w:rPr>
        <w:t>the comments above</w:t>
      </w:r>
      <w:r>
        <w:rPr>
          <w:rFonts w:ascii="Times New Roman" w:hAnsi="Times New Roman" w:cs="Times New Roman"/>
          <w:color w:val="1F497D" w:themeColor="text2"/>
          <w:sz w:val="24"/>
          <w:szCs w:val="24"/>
          <w:lang w:val="en-US"/>
        </w:rPr>
        <w:t xml:space="preserve">, we would like to highlight a key problem: </w:t>
      </w:r>
      <w:r w:rsidR="00025054" w:rsidRPr="00CB7CFF">
        <w:rPr>
          <w:rFonts w:ascii="Times New Roman" w:hAnsi="Times New Roman" w:cs="Times New Roman"/>
          <w:color w:val="1F497D" w:themeColor="text2"/>
          <w:sz w:val="24"/>
          <w:szCs w:val="24"/>
          <w:lang w:val="en-US"/>
        </w:rPr>
        <w:t xml:space="preserve">the effort to force research institutions to generate income from non-public sources. It is often seen as a way how to evaluate the scale of research collaboration between the public and private sector. Especially among the EU13 countries there is a greatly widespread meaning that the collaboration is not intense enough. Thus the research institutions are evaluated on the basis of this monitoring indicator or there are public funding schemes where this amount of income is a precondition. This means that the research organizations sometimes have to do activities for prices that do not fulfill these conditions. Otherwise they would be punished. This results in hard decision-making </w:t>
      </w:r>
      <w:r w:rsidR="00025054" w:rsidRPr="00CB7CFF">
        <w:rPr>
          <w:rFonts w:ascii="Times New Roman" w:hAnsi="Times New Roman" w:cs="Times New Roman"/>
          <w:color w:val="1F497D" w:themeColor="text2"/>
          <w:sz w:val="24"/>
          <w:szCs w:val="24"/>
          <w:lang w:val="en-US"/>
        </w:rPr>
        <w:lastRenderedPageBreak/>
        <w:t>what evil is greater – this punishment or breaking of the State Aid Rules. The best way would be either to omit these two paragraphs or to state clearly here that research organizations MUST not be forced to do these activities.</w:t>
      </w:r>
    </w:p>
    <w:p w14:paraId="13F429E8" w14:textId="6D32E773" w:rsidR="006910C0" w:rsidRPr="00792831" w:rsidRDefault="006910C0" w:rsidP="00D91D61">
      <w:pPr>
        <w:pStyle w:val="Odstavecseseznamem"/>
        <w:jc w:val="both"/>
        <w:rPr>
          <w:rFonts w:ascii="Times New Roman" w:hAnsi="Times New Roman" w:cs="Times New Roman"/>
          <w:sz w:val="24"/>
          <w:szCs w:val="24"/>
          <w:lang w:val="en-US"/>
        </w:rPr>
      </w:pPr>
    </w:p>
    <w:p w14:paraId="18F855A4" w14:textId="77777777" w:rsidR="006910C0" w:rsidRPr="00C35312" w:rsidRDefault="006910C0" w:rsidP="00D91D61">
      <w:pPr>
        <w:pStyle w:val="Odstavecseseznamem"/>
        <w:rPr>
          <w:rFonts w:ascii="Times New Roman" w:hAnsi="Times New Roman" w:cs="Times New Roman"/>
          <w:sz w:val="24"/>
          <w:szCs w:val="24"/>
          <w:lang w:val="en-US"/>
        </w:rPr>
      </w:pPr>
    </w:p>
    <w:p w14:paraId="5FED4F94" w14:textId="77777777" w:rsidR="00595E6B" w:rsidRPr="00C35312" w:rsidRDefault="00595E6B" w:rsidP="00D91D61">
      <w:pPr>
        <w:pStyle w:val="Odstavecseseznamem"/>
        <w:rPr>
          <w:rFonts w:ascii="Times New Roman" w:hAnsi="Times New Roman" w:cs="Times New Roman"/>
          <w:sz w:val="24"/>
          <w:szCs w:val="24"/>
          <w:lang w:val="en-US"/>
        </w:rPr>
      </w:pPr>
    </w:p>
    <w:p w14:paraId="4F2743D5" w14:textId="77777777" w:rsidR="00595E6B" w:rsidRPr="00C35312" w:rsidRDefault="00595E6B" w:rsidP="00D91D61">
      <w:pPr>
        <w:pStyle w:val="Odstavecseseznamem"/>
        <w:ind w:left="0"/>
        <w:contextualSpacing w:val="0"/>
        <w:rPr>
          <w:rFonts w:ascii="Times New Roman" w:hAnsi="Times New Roman" w:cs="Times New Roman"/>
          <w:sz w:val="24"/>
          <w:szCs w:val="24"/>
          <w:lang w:val="en-US"/>
        </w:rPr>
      </w:pPr>
    </w:p>
    <w:sectPr w:rsidR="00595E6B" w:rsidRPr="00C353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0061A" w14:textId="77777777" w:rsidR="00DB5394" w:rsidRDefault="00DB5394" w:rsidP="00DB5394">
      <w:pPr>
        <w:spacing w:after="0" w:line="240" w:lineRule="auto"/>
      </w:pPr>
      <w:r>
        <w:separator/>
      </w:r>
    </w:p>
  </w:endnote>
  <w:endnote w:type="continuationSeparator" w:id="0">
    <w:p w14:paraId="578D20CF" w14:textId="77777777" w:rsidR="00DB5394" w:rsidRDefault="00DB5394" w:rsidP="00DB5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D523A" w14:textId="77777777" w:rsidR="00DB5394" w:rsidRDefault="00DB5394" w:rsidP="00DB5394">
      <w:pPr>
        <w:spacing w:after="0" w:line="240" w:lineRule="auto"/>
      </w:pPr>
      <w:r>
        <w:separator/>
      </w:r>
    </w:p>
  </w:footnote>
  <w:footnote w:type="continuationSeparator" w:id="0">
    <w:p w14:paraId="0BBE2FC4" w14:textId="77777777" w:rsidR="00DB5394" w:rsidRDefault="00DB5394" w:rsidP="00DB53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12E31"/>
    <w:multiLevelType w:val="hybridMultilevel"/>
    <w:tmpl w:val="A80EB786"/>
    <w:lvl w:ilvl="0" w:tplc="7742B31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20731745"/>
    <w:multiLevelType w:val="hybridMultilevel"/>
    <w:tmpl w:val="7F9ACC08"/>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B6E5DB5"/>
    <w:multiLevelType w:val="hybridMultilevel"/>
    <w:tmpl w:val="52B67490"/>
    <w:lvl w:ilvl="0" w:tplc="8952965E">
      <w:start w:val="1"/>
      <w:numFmt w:val="decimal"/>
      <w:lvlText w:val="%1."/>
      <w:lvlJc w:val="left"/>
      <w:pPr>
        <w:ind w:left="1776" w:hanging="360"/>
      </w:pPr>
    </w:lvl>
    <w:lvl w:ilvl="1" w:tplc="04050019" w:tentative="1">
      <w:start w:val="1"/>
      <w:numFmt w:val="lowerLetter"/>
      <w:lvlText w:val="%2."/>
      <w:lvlJc w:val="left"/>
      <w:pPr>
        <w:ind w:left="2289" w:hanging="360"/>
      </w:pPr>
    </w:lvl>
    <w:lvl w:ilvl="2" w:tplc="0405001B" w:tentative="1">
      <w:start w:val="1"/>
      <w:numFmt w:val="lowerRoman"/>
      <w:lvlText w:val="%3."/>
      <w:lvlJc w:val="right"/>
      <w:pPr>
        <w:ind w:left="3009" w:hanging="180"/>
      </w:pPr>
    </w:lvl>
    <w:lvl w:ilvl="3" w:tplc="0405000F" w:tentative="1">
      <w:start w:val="1"/>
      <w:numFmt w:val="decimal"/>
      <w:lvlText w:val="%4."/>
      <w:lvlJc w:val="left"/>
      <w:pPr>
        <w:ind w:left="3729" w:hanging="360"/>
      </w:pPr>
    </w:lvl>
    <w:lvl w:ilvl="4" w:tplc="04050019" w:tentative="1">
      <w:start w:val="1"/>
      <w:numFmt w:val="lowerLetter"/>
      <w:lvlText w:val="%5."/>
      <w:lvlJc w:val="left"/>
      <w:pPr>
        <w:ind w:left="4449" w:hanging="360"/>
      </w:pPr>
    </w:lvl>
    <w:lvl w:ilvl="5" w:tplc="0405001B" w:tentative="1">
      <w:start w:val="1"/>
      <w:numFmt w:val="lowerRoman"/>
      <w:lvlText w:val="%6."/>
      <w:lvlJc w:val="right"/>
      <w:pPr>
        <w:ind w:left="5169" w:hanging="180"/>
      </w:pPr>
    </w:lvl>
    <w:lvl w:ilvl="6" w:tplc="0405000F" w:tentative="1">
      <w:start w:val="1"/>
      <w:numFmt w:val="decimal"/>
      <w:lvlText w:val="%7."/>
      <w:lvlJc w:val="left"/>
      <w:pPr>
        <w:ind w:left="5889" w:hanging="360"/>
      </w:pPr>
    </w:lvl>
    <w:lvl w:ilvl="7" w:tplc="04050019" w:tentative="1">
      <w:start w:val="1"/>
      <w:numFmt w:val="lowerLetter"/>
      <w:lvlText w:val="%8."/>
      <w:lvlJc w:val="left"/>
      <w:pPr>
        <w:ind w:left="6609" w:hanging="360"/>
      </w:pPr>
    </w:lvl>
    <w:lvl w:ilvl="8" w:tplc="0405001B" w:tentative="1">
      <w:start w:val="1"/>
      <w:numFmt w:val="lowerRoman"/>
      <w:lvlText w:val="%9."/>
      <w:lvlJc w:val="right"/>
      <w:pPr>
        <w:ind w:left="7329" w:hanging="180"/>
      </w:pPr>
    </w:lvl>
  </w:abstractNum>
  <w:abstractNum w:abstractNumId="3" w15:restartNumberingAfterBreak="0">
    <w:nsid w:val="38EF6963"/>
    <w:multiLevelType w:val="multilevel"/>
    <w:tmpl w:val="83AA827C"/>
    <w:lvl w:ilvl="0">
      <w:start w:val="1"/>
      <w:numFmt w:val="decimal"/>
      <w:lvlText w:val="%1."/>
      <w:lvlJc w:val="left"/>
      <w:pPr>
        <w:ind w:left="720" w:hanging="360"/>
      </w:pPr>
      <w:rPr>
        <w:rFonts w:hint="default"/>
        <w:sz w:val="23"/>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9E10197"/>
    <w:multiLevelType w:val="hybridMultilevel"/>
    <w:tmpl w:val="52B67490"/>
    <w:lvl w:ilvl="0" w:tplc="8952965E">
      <w:start w:val="1"/>
      <w:numFmt w:val="decimal"/>
      <w:lvlText w:val="%1."/>
      <w:lvlJc w:val="left"/>
      <w:pPr>
        <w:ind w:left="1776" w:hanging="360"/>
      </w:pPr>
    </w:lvl>
    <w:lvl w:ilvl="1" w:tplc="04050019" w:tentative="1">
      <w:start w:val="1"/>
      <w:numFmt w:val="lowerLetter"/>
      <w:lvlText w:val="%2."/>
      <w:lvlJc w:val="left"/>
      <w:pPr>
        <w:ind w:left="2289" w:hanging="360"/>
      </w:pPr>
    </w:lvl>
    <w:lvl w:ilvl="2" w:tplc="0405001B" w:tentative="1">
      <w:start w:val="1"/>
      <w:numFmt w:val="lowerRoman"/>
      <w:lvlText w:val="%3."/>
      <w:lvlJc w:val="right"/>
      <w:pPr>
        <w:ind w:left="3009" w:hanging="180"/>
      </w:pPr>
    </w:lvl>
    <w:lvl w:ilvl="3" w:tplc="0405000F" w:tentative="1">
      <w:start w:val="1"/>
      <w:numFmt w:val="decimal"/>
      <w:lvlText w:val="%4."/>
      <w:lvlJc w:val="left"/>
      <w:pPr>
        <w:ind w:left="3729" w:hanging="360"/>
      </w:pPr>
    </w:lvl>
    <w:lvl w:ilvl="4" w:tplc="04050019" w:tentative="1">
      <w:start w:val="1"/>
      <w:numFmt w:val="lowerLetter"/>
      <w:lvlText w:val="%5."/>
      <w:lvlJc w:val="left"/>
      <w:pPr>
        <w:ind w:left="4449" w:hanging="360"/>
      </w:pPr>
    </w:lvl>
    <w:lvl w:ilvl="5" w:tplc="0405001B" w:tentative="1">
      <w:start w:val="1"/>
      <w:numFmt w:val="lowerRoman"/>
      <w:lvlText w:val="%6."/>
      <w:lvlJc w:val="right"/>
      <w:pPr>
        <w:ind w:left="5169" w:hanging="180"/>
      </w:pPr>
    </w:lvl>
    <w:lvl w:ilvl="6" w:tplc="0405000F" w:tentative="1">
      <w:start w:val="1"/>
      <w:numFmt w:val="decimal"/>
      <w:lvlText w:val="%7."/>
      <w:lvlJc w:val="left"/>
      <w:pPr>
        <w:ind w:left="5889" w:hanging="360"/>
      </w:pPr>
    </w:lvl>
    <w:lvl w:ilvl="7" w:tplc="04050019" w:tentative="1">
      <w:start w:val="1"/>
      <w:numFmt w:val="lowerLetter"/>
      <w:lvlText w:val="%8."/>
      <w:lvlJc w:val="left"/>
      <w:pPr>
        <w:ind w:left="6609" w:hanging="360"/>
      </w:pPr>
    </w:lvl>
    <w:lvl w:ilvl="8" w:tplc="0405001B" w:tentative="1">
      <w:start w:val="1"/>
      <w:numFmt w:val="lowerRoman"/>
      <w:lvlText w:val="%9."/>
      <w:lvlJc w:val="right"/>
      <w:pPr>
        <w:ind w:left="7329" w:hanging="180"/>
      </w:pPr>
    </w:lvl>
  </w:abstractNum>
  <w:abstractNum w:abstractNumId="5" w15:restartNumberingAfterBreak="0">
    <w:nsid w:val="4A3B0BD7"/>
    <w:multiLevelType w:val="hybridMultilevel"/>
    <w:tmpl w:val="52B67490"/>
    <w:lvl w:ilvl="0" w:tplc="8952965E">
      <w:start w:val="1"/>
      <w:numFmt w:val="decimal"/>
      <w:lvlText w:val="%1."/>
      <w:lvlJc w:val="left"/>
      <w:pPr>
        <w:ind w:left="1776" w:hanging="360"/>
      </w:pPr>
    </w:lvl>
    <w:lvl w:ilvl="1" w:tplc="04050019" w:tentative="1">
      <w:start w:val="1"/>
      <w:numFmt w:val="lowerLetter"/>
      <w:lvlText w:val="%2."/>
      <w:lvlJc w:val="left"/>
      <w:pPr>
        <w:ind w:left="2289" w:hanging="360"/>
      </w:pPr>
    </w:lvl>
    <w:lvl w:ilvl="2" w:tplc="0405001B" w:tentative="1">
      <w:start w:val="1"/>
      <w:numFmt w:val="lowerRoman"/>
      <w:lvlText w:val="%3."/>
      <w:lvlJc w:val="right"/>
      <w:pPr>
        <w:ind w:left="3009" w:hanging="180"/>
      </w:pPr>
    </w:lvl>
    <w:lvl w:ilvl="3" w:tplc="0405000F" w:tentative="1">
      <w:start w:val="1"/>
      <w:numFmt w:val="decimal"/>
      <w:lvlText w:val="%4."/>
      <w:lvlJc w:val="left"/>
      <w:pPr>
        <w:ind w:left="3729" w:hanging="360"/>
      </w:pPr>
    </w:lvl>
    <w:lvl w:ilvl="4" w:tplc="04050019" w:tentative="1">
      <w:start w:val="1"/>
      <w:numFmt w:val="lowerLetter"/>
      <w:lvlText w:val="%5."/>
      <w:lvlJc w:val="left"/>
      <w:pPr>
        <w:ind w:left="4449" w:hanging="360"/>
      </w:pPr>
    </w:lvl>
    <w:lvl w:ilvl="5" w:tplc="0405001B" w:tentative="1">
      <w:start w:val="1"/>
      <w:numFmt w:val="lowerRoman"/>
      <w:lvlText w:val="%6."/>
      <w:lvlJc w:val="right"/>
      <w:pPr>
        <w:ind w:left="5169" w:hanging="180"/>
      </w:pPr>
    </w:lvl>
    <w:lvl w:ilvl="6" w:tplc="0405000F" w:tentative="1">
      <w:start w:val="1"/>
      <w:numFmt w:val="decimal"/>
      <w:lvlText w:val="%7."/>
      <w:lvlJc w:val="left"/>
      <w:pPr>
        <w:ind w:left="5889" w:hanging="360"/>
      </w:pPr>
    </w:lvl>
    <w:lvl w:ilvl="7" w:tplc="04050019" w:tentative="1">
      <w:start w:val="1"/>
      <w:numFmt w:val="lowerLetter"/>
      <w:lvlText w:val="%8."/>
      <w:lvlJc w:val="left"/>
      <w:pPr>
        <w:ind w:left="6609" w:hanging="360"/>
      </w:pPr>
    </w:lvl>
    <w:lvl w:ilvl="8" w:tplc="0405001B" w:tentative="1">
      <w:start w:val="1"/>
      <w:numFmt w:val="lowerRoman"/>
      <w:lvlText w:val="%9."/>
      <w:lvlJc w:val="right"/>
      <w:pPr>
        <w:ind w:left="7329" w:hanging="180"/>
      </w:pPr>
    </w:lvl>
  </w:abstractNum>
  <w:abstractNum w:abstractNumId="6" w15:restartNumberingAfterBreak="0">
    <w:nsid w:val="51F431BD"/>
    <w:multiLevelType w:val="hybridMultilevel"/>
    <w:tmpl w:val="7F9ACC08"/>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600C7C00"/>
    <w:multiLevelType w:val="hybridMultilevel"/>
    <w:tmpl w:val="52B67490"/>
    <w:lvl w:ilvl="0" w:tplc="8952965E">
      <w:start w:val="1"/>
      <w:numFmt w:val="decimal"/>
      <w:lvlText w:val="%1."/>
      <w:lvlJc w:val="left"/>
      <w:pPr>
        <w:ind w:left="1776" w:hanging="360"/>
      </w:pPr>
    </w:lvl>
    <w:lvl w:ilvl="1" w:tplc="04050019" w:tentative="1">
      <w:start w:val="1"/>
      <w:numFmt w:val="lowerLetter"/>
      <w:lvlText w:val="%2."/>
      <w:lvlJc w:val="left"/>
      <w:pPr>
        <w:ind w:left="2289" w:hanging="360"/>
      </w:pPr>
    </w:lvl>
    <w:lvl w:ilvl="2" w:tplc="0405001B" w:tentative="1">
      <w:start w:val="1"/>
      <w:numFmt w:val="lowerRoman"/>
      <w:lvlText w:val="%3."/>
      <w:lvlJc w:val="right"/>
      <w:pPr>
        <w:ind w:left="3009" w:hanging="180"/>
      </w:pPr>
    </w:lvl>
    <w:lvl w:ilvl="3" w:tplc="0405000F" w:tentative="1">
      <w:start w:val="1"/>
      <w:numFmt w:val="decimal"/>
      <w:lvlText w:val="%4."/>
      <w:lvlJc w:val="left"/>
      <w:pPr>
        <w:ind w:left="3729" w:hanging="360"/>
      </w:pPr>
    </w:lvl>
    <w:lvl w:ilvl="4" w:tplc="04050019" w:tentative="1">
      <w:start w:val="1"/>
      <w:numFmt w:val="lowerLetter"/>
      <w:lvlText w:val="%5."/>
      <w:lvlJc w:val="left"/>
      <w:pPr>
        <w:ind w:left="4449" w:hanging="360"/>
      </w:pPr>
    </w:lvl>
    <w:lvl w:ilvl="5" w:tplc="0405001B" w:tentative="1">
      <w:start w:val="1"/>
      <w:numFmt w:val="lowerRoman"/>
      <w:lvlText w:val="%6."/>
      <w:lvlJc w:val="right"/>
      <w:pPr>
        <w:ind w:left="5169" w:hanging="180"/>
      </w:pPr>
    </w:lvl>
    <w:lvl w:ilvl="6" w:tplc="0405000F" w:tentative="1">
      <w:start w:val="1"/>
      <w:numFmt w:val="decimal"/>
      <w:lvlText w:val="%7."/>
      <w:lvlJc w:val="left"/>
      <w:pPr>
        <w:ind w:left="5889" w:hanging="360"/>
      </w:pPr>
    </w:lvl>
    <w:lvl w:ilvl="7" w:tplc="04050019" w:tentative="1">
      <w:start w:val="1"/>
      <w:numFmt w:val="lowerLetter"/>
      <w:lvlText w:val="%8."/>
      <w:lvlJc w:val="left"/>
      <w:pPr>
        <w:ind w:left="6609" w:hanging="360"/>
      </w:pPr>
    </w:lvl>
    <w:lvl w:ilvl="8" w:tplc="0405001B" w:tentative="1">
      <w:start w:val="1"/>
      <w:numFmt w:val="lowerRoman"/>
      <w:lvlText w:val="%9."/>
      <w:lvlJc w:val="right"/>
      <w:pPr>
        <w:ind w:left="7329" w:hanging="180"/>
      </w:pPr>
    </w:lvl>
  </w:abstractNum>
  <w:abstractNum w:abstractNumId="8" w15:restartNumberingAfterBreak="0">
    <w:nsid w:val="7B595671"/>
    <w:multiLevelType w:val="hybridMultilevel"/>
    <w:tmpl w:val="00506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4"/>
  </w:num>
  <w:num w:numId="5">
    <w:abstractNumId w:val="2"/>
  </w:num>
  <w:num w:numId="6">
    <w:abstractNumId w:val="5"/>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BB2"/>
    <w:rsid w:val="00017573"/>
    <w:rsid w:val="00025054"/>
    <w:rsid w:val="000267FD"/>
    <w:rsid w:val="00036605"/>
    <w:rsid w:val="00046D0A"/>
    <w:rsid w:val="00057C0A"/>
    <w:rsid w:val="00062D8E"/>
    <w:rsid w:val="000A08C3"/>
    <w:rsid w:val="000A3AEE"/>
    <w:rsid w:val="000B4841"/>
    <w:rsid w:val="000C1CD7"/>
    <w:rsid w:val="000C55F7"/>
    <w:rsid w:val="00117C6C"/>
    <w:rsid w:val="0017022D"/>
    <w:rsid w:val="00172D30"/>
    <w:rsid w:val="00181A50"/>
    <w:rsid w:val="00185F94"/>
    <w:rsid w:val="00186010"/>
    <w:rsid w:val="001A2DB5"/>
    <w:rsid w:val="001B6E17"/>
    <w:rsid w:val="001D1EA8"/>
    <w:rsid w:val="001D239A"/>
    <w:rsid w:val="00217393"/>
    <w:rsid w:val="0022181A"/>
    <w:rsid w:val="00226F3C"/>
    <w:rsid w:val="00237C9C"/>
    <w:rsid w:val="002532A3"/>
    <w:rsid w:val="002B6838"/>
    <w:rsid w:val="002E15E0"/>
    <w:rsid w:val="00332FFB"/>
    <w:rsid w:val="0034210A"/>
    <w:rsid w:val="003558C9"/>
    <w:rsid w:val="00380D21"/>
    <w:rsid w:val="00384AB7"/>
    <w:rsid w:val="00386A10"/>
    <w:rsid w:val="00390CA3"/>
    <w:rsid w:val="003955A4"/>
    <w:rsid w:val="00397F09"/>
    <w:rsid w:val="003B30C8"/>
    <w:rsid w:val="003B7CF6"/>
    <w:rsid w:val="003C3779"/>
    <w:rsid w:val="003C38FD"/>
    <w:rsid w:val="003E403A"/>
    <w:rsid w:val="003E45A0"/>
    <w:rsid w:val="003E6798"/>
    <w:rsid w:val="003F03A9"/>
    <w:rsid w:val="003F66E7"/>
    <w:rsid w:val="00410AAD"/>
    <w:rsid w:val="00413FD2"/>
    <w:rsid w:val="004228C8"/>
    <w:rsid w:val="00427969"/>
    <w:rsid w:val="004412D5"/>
    <w:rsid w:val="00451198"/>
    <w:rsid w:val="00455124"/>
    <w:rsid w:val="004A3CC4"/>
    <w:rsid w:val="004A4B54"/>
    <w:rsid w:val="004D4497"/>
    <w:rsid w:val="004E4EFA"/>
    <w:rsid w:val="004F774C"/>
    <w:rsid w:val="004F7E88"/>
    <w:rsid w:val="00504FB6"/>
    <w:rsid w:val="00510CB6"/>
    <w:rsid w:val="00531C51"/>
    <w:rsid w:val="00563083"/>
    <w:rsid w:val="0057227F"/>
    <w:rsid w:val="00586BB2"/>
    <w:rsid w:val="00595E6B"/>
    <w:rsid w:val="005B68F5"/>
    <w:rsid w:val="005E3AB1"/>
    <w:rsid w:val="006076E7"/>
    <w:rsid w:val="00624076"/>
    <w:rsid w:val="00625C96"/>
    <w:rsid w:val="00663340"/>
    <w:rsid w:val="00667D37"/>
    <w:rsid w:val="00670709"/>
    <w:rsid w:val="006724ED"/>
    <w:rsid w:val="00681D63"/>
    <w:rsid w:val="006820BA"/>
    <w:rsid w:val="006910C0"/>
    <w:rsid w:val="00694D07"/>
    <w:rsid w:val="00695CC6"/>
    <w:rsid w:val="006B025C"/>
    <w:rsid w:val="006B16A1"/>
    <w:rsid w:val="006D0089"/>
    <w:rsid w:val="006D484D"/>
    <w:rsid w:val="0070547A"/>
    <w:rsid w:val="00712ED0"/>
    <w:rsid w:val="00720C33"/>
    <w:rsid w:val="00733298"/>
    <w:rsid w:val="00733948"/>
    <w:rsid w:val="007502F5"/>
    <w:rsid w:val="0075209F"/>
    <w:rsid w:val="007657AA"/>
    <w:rsid w:val="00767425"/>
    <w:rsid w:val="0076757D"/>
    <w:rsid w:val="007677D1"/>
    <w:rsid w:val="00767FA1"/>
    <w:rsid w:val="00771BDD"/>
    <w:rsid w:val="00775158"/>
    <w:rsid w:val="00791D1B"/>
    <w:rsid w:val="00792831"/>
    <w:rsid w:val="007A2E41"/>
    <w:rsid w:val="007A4CC3"/>
    <w:rsid w:val="007A6517"/>
    <w:rsid w:val="007B0BFE"/>
    <w:rsid w:val="007D3784"/>
    <w:rsid w:val="007D6A0E"/>
    <w:rsid w:val="007E39EE"/>
    <w:rsid w:val="007E40D6"/>
    <w:rsid w:val="00802429"/>
    <w:rsid w:val="00804C3E"/>
    <w:rsid w:val="008073D1"/>
    <w:rsid w:val="00815C67"/>
    <w:rsid w:val="008420C2"/>
    <w:rsid w:val="00870CEF"/>
    <w:rsid w:val="00872C15"/>
    <w:rsid w:val="00881B5E"/>
    <w:rsid w:val="00886934"/>
    <w:rsid w:val="008901F2"/>
    <w:rsid w:val="00890865"/>
    <w:rsid w:val="008A4183"/>
    <w:rsid w:val="008C73C6"/>
    <w:rsid w:val="008D0F75"/>
    <w:rsid w:val="008D202D"/>
    <w:rsid w:val="008D37BC"/>
    <w:rsid w:val="008D435C"/>
    <w:rsid w:val="008E5B11"/>
    <w:rsid w:val="008E5D07"/>
    <w:rsid w:val="00902629"/>
    <w:rsid w:val="00923947"/>
    <w:rsid w:val="00924A6C"/>
    <w:rsid w:val="009264CC"/>
    <w:rsid w:val="0092703C"/>
    <w:rsid w:val="009851A3"/>
    <w:rsid w:val="009A6BCE"/>
    <w:rsid w:val="009B6DF4"/>
    <w:rsid w:val="009C7854"/>
    <w:rsid w:val="009D04FC"/>
    <w:rsid w:val="009D2649"/>
    <w:rsid w:val="009E13AD"/>
    <w:rsid w:val="00A001E6"/>
    <w:rsid w:val="00A12761"/>
    <w:rsid w:val="00A23F90"/>
    <w:rsid w:val="00A30A53"/>
    <w:rsid w:val="00A34707"/>
    <w:rsid w:val="00A71E38"/>
    <w:rsid w:val="00A77466"/>
    <w:rsid w:val="00AA4C35"/>
    <w:rsid w:val="00AB4158"/>
    <w:rsid w:val="00AC3D22"/>
    <w:rsid w:val="00AD490A"/>
    <w:rsid w:val="00AD67B1"/>
    <w:rsid w:val="00AE3DB4"/>
    <w:rsid w:val="00AE598C"/>
    <w:rsid w:val="00AF6179"/>
    <w:rsid w:val="00B03A01"/>
    <w:rsid w:val="00B13178"/>
    <w:rsid w:val="00B13461"/>
    <w:rsid w:val="00B2220C"/>
    <w:rsid w:val="00B4102B"/>
    <w:rsid w:val="00B86553"/>
    <w:rsid w:val="00B86EB5"/>
    <w:rsid w:val="00B96C08"/>
    <w:rsid w:val="00BB58DB"/>
    <w:rsid w:val="00BC1839"/>
    <w:rsid w:val="00BC1A31"/>
    <w:rsid w:val="00BC66CC"/>
    <w:rsid w:val="00BC6E2C"/>
    <w:rsid w:val="00BD6609"/>
    <w:rsid w:val="00BD6612"/>
    <w:rsid w:val="00BD788D"/>
    <w:rsid w:val="00BE4F4F"/>
    <w:rsid w:val="00BF055D"/>
    <w:rsid w:val="00BF513A"/>
    <w:rsid w:val="00C02537"/>
    <w:rsid w:val="00C07D5B"/>
    <w:rsid w:val="00C236D1"/>
    <w:rsid w:val="00C329A8"/>
    <w:rsid w:val="00C35312"/>
    <w:rsid w:val="00C41661"/>
    <w:rsid w:val="00C42C5A"/>
    <w:rsid w:val="00C60C7C"/>
    <w:rsid w:val="00C67E59"/>
    <w:rsid w:val="00C74FB4"/>
    <w:rsid w:val="00C8028E"/>
    <w:rsid w:val="00CA2292"/>
    <w:rsid w:val="00CA334E"/>
    <w:rsid w:val="00CB7CFF"/>
    <w:rsid w:val="00CC0BAB"/>
    <w:rsid w:val="00CD30F1"/>
    <w:rsid w:val="00CD589E"/>
    <w:rsid w:val="00CE17A9"/>
    <w:rsid w:val="00CE5E41"/>
    <w:rsid w:val="00CF191E"/>
    <w:rsid w:val="00D04380"/>
    <w:rsid w:val="00D04999"/>
    <w:rsid w:val="00D220C4"/>
    <w:rsid w:val="00D515AC"/>
    <w:rsid w:val="00D532A9"/>
    <w:rsid w:val="00D53D0D"/>
    <w:rsid w:val="00D62F9E"/>
    <w:rsid w:val="00D72D66"/>
    <w:rsid w:val="00D80CCE"/>
    <w:rsid w:val="00D824DF"/>
    <w:rsid w:val="00D91D61"/>
    <w:rsid w:val="00D93EDE"/>
    <w:rsid w:val="00DA166F"/>
    <w:rsid w:val="00DB5394"/>
    <w:rsid w:val="00DB762C"/>
    <w:rsid w:val="00DD7B69"/>
    <w:rsid w:val="00E24E63"/>
    <w:rsid w:val="00E33315"/>
    <w:rsid w:val="00E46534"/>
    <w:rsid w:val="00E75ADB"/>
    <w:rsid w:val="00E86DF1"/>
    <w:rsid w:val="00E96CD0"/>
    <w:rsid w:val="00EB4048"/>
    <w:rsid w:val="00EC0B24"/>
    <w:rsid w:val="00ED5989"/>
    <w:rsid w:val="00EF0FDE"/>
    <w:rsid w:val="00F110B8"/>
    <w:rsid w:val="00F2255B"/>
    <w:rsid w:val="00F425E5"/>
    <w:rsid w:val="00F452C3"/>
    <w:rsid w:val="00F53B49"/>
    <w:rsid w:val="00F54731"/>
    <w:rsid w:val="00F57C24"/>
    <w:rsid w:val="00F827AC"/>
    <w:rsid w:val="00F95D46"/>
    <w:rsid w:val="00F97BD7"/>
    <w:rsid w:val="00FA6B96"/>
    <w:rsid w:val="00FC57C8"/>
    <w:rsid w:val="00FF5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436AB"/>
  <w15:docId w15:val="{45C82B61-2487-43A7-8333-02C0D208A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226F3C"/>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226F3C"/>
    <w:pPr>
      <w:ind w:left="720"/>
      <w:contextualSpacing/>
    </w:pPr>
  </w:style>
  <w:style w:type="paragraph" w:styleId="Textbubliny">
    <w:name w:val="Balloon Text"/>
    <w:basedOn w:val="Normln"/>
    <w:link w:val="TextbublinyChar"/>
    <w:uiPriority w:val="99"/>
    <w:semiHidden/>
    <w:unhideWhenUsed/>
    <w:rsid w:val="008E5D0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5D07"/>
    <w:rPr>
      <w:rFonts w:ascii="Tahoma" w:hAnsi="Tahoma" w:cs="Tahoma"/>
      <w:sz w:val="16"/>
      <w:szCs w:val="16"/>
    </w:rPr>
  </w:style>
  <w:style w:type="paragraph" w:customStyle="1" w:styleId="nadp">
    <w:name w:val="nadp"/>
    <w:basedOn w:val="Normln"/>
    <w:rsid w:val="00D80CCE"/>
    <w:pPr>
      <w:keepNext/>
      <w:suppressAutoHyphens/>
      <w:spacing w:before="227" w:after="113" w:line="240" w:lineRule="auto"/>
    </w:pPr>
    <w:rPr>
      <w:rFonts w:ascii="Times New Roman" w:eastAsia="Times New Roman" w:hAnsi="Times New Roman" w:cs="Times New Roman"/>
      <w:b/>
      <w:sz w:val="24"/>
      <w:szCs w:val="24"/>
      <w:lang w:eastAsia="zh-CN"/>
    </w:rPr>
  </w:style>
  <w:style w:type="paragraph" w:customStyle="1" w:styleId="Normlnbezmezer">
    <w:name w:val="Normální (bez mezer)"/>
    <w:basedOn w:val="Normln"/>
    <w:autoRedefine/>
    <w:qFormat/>
    <w:rsid w:val="00667D37"/>
    <w:pPr>
      <w:spacing w:after="0"/>
      <w:jc w:val="both"/>
    </w:pPr>
    <w:rPr>
      <w:rFonts w:ascii="Arial" w:eastAsia="Arial" w:hAnsi="Arial" w:cs="Arial"/>
      <w:lang w:val="en-GB" w:eastAsia="cs-CZ"/>
    </w:rPr>
  </w:style>
  <w:style w:type="table" w:styleId="Mkatabulky">
    <w:name w:val="Table Grid"/>
    <w:basedOn w:val="Normlntabulka"/>
    <w:uiPriority w:val="39"/>
    <w:rsid w:val="0045512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DB53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5394"/>
  </w:style>
  <w:style w:type="paragraph" w:styleId="Zpat">
    <w:name w:val="footer"/>
    <w:basedOn w:val="Normln"/>
    <w:link w:val="ZpatChar"/>
    <w:uiPriority w:val="99"/>
    <w:unhideWhenUsed/>
    <w:rsid w:val="00DB5394"/>
    <w:pPr>
      <w:tabs>
        <w:tab w:val="center" w:pos="4536"/>
        <w:tab w:val="right" w:pos="9072"/>
      </w:tabs>
      <w:spacing w:after="0" w:line="240" w:lineRule="auto"/>
    </w:pPr>
  </w:style>
  <w:style w:type="character" w:customStyle="1" w:styleId="ZpatChar">
    <w:name w:val="Zápatí Char"/>
    <w:basedOn w:val="Standardnpsmoodstavce"/>
    <w:link w:val="Zpat"/>
    <w:uiPriority w:val="99"/>
    <w:rsid w:val="00DB5394"/>
  </w:style>
  <w:style w:type="character" w:styleId="Odkaznakoment">
    <w:name w:val="annotation reference"/>
    <w:basedOn w:val="Standardnpsmoodstavce"/>
    <w:uiPriority w:val="99"/>
    <w:semiHidden/>
    <w:unhideWhenUsed/>
    <w:rsid w:val="00D72D66"/>
    <w:rPr>
      <w:sz w:val="16"/>
      <w:szCs w:val="16"/>
    </w:rPr>
  </w:style>
  <w:style w:type="paragraph" w:styleId="Textkomente">
    <w:name w:val="annotation text"/>
    <w:basedOn w:val="Normln"/>
    <w:link w:val="TextkomenteChar"/>
    <w:uiPriority w:val="99"/>
    <w:semiHidden/>
    <w:unhideWhenUsed/>
    <w:rsid w:val="00D72D66"/>
    <w:pPr>
      <w:spacing w:line="240" w:lineRule="auto"/>
    </w:pPr>
    <w:rPr>
      <w:sz w:val="20"/>
      <w:szCs w:val="20"/>
    </w:rPr>
  </w:style>
  <w:style w:type="character" w:customStyle="1" w:styleId="TextkomenteChar">
    <w:name w:val="Text komentáře Char"/>
    <w:basedOn w:val="Standardnpsmoodstavce"/>
    <w:link w:val="Textkomente"/>
    <w:uiPriority w:val="99"/>
    <w:semiHidden/>
    <w:rsid w:val="00D72D66"/>
    <w:rPr>
      <w:sz w:val="20"/>
      <w:szCs w:val="20"/>
    </w:rPr>
  </w:style>
  <w:style w:type="paragraph" w:styleId="Pedmtkomente">
    <w:name w:val="annotation subject"/>
    <w:basedOn w:val="Textkomente"/>
    <w:next w:val="Textkomente"/>
    <w:link w:val="PedmtkomenteChar"/>
    <w:uiPriority w:val="99"/>
    <w:semiHidden/>
    <w:unhideWhenUsed/>
    <w:rsid w:val="00D72D66"/>
    <w:rPr>
      <w:b/>
      <w:bCs/>
    </w:rPr>
  </w:style>
  <w:style w:type="character" w:customStyle="1" w:styleId="PedmtkomenteChar">
    <w:name w:val="Předmět komentáře Char"/>
    <w:basedOn w:val="TextkomenteChar"/>
    <w:link w:val="Pedmtkomente"/>
    <w:uiPriority w:val="99"/>
    <w:semiHidden/>
    <w:rsid w:val="00D72D66"/>
    <w:rPr>
      <w:b/>
      <w:bCs/>
      <w:sz w:val="20"/>
      <w:szCs w:val="20"/>
    </w:rPr>
  </w:style>
  <w:style w:type="character" w:styleId="Hypertextovodkaz">
    <w:name w:val="Hyperlink"/>
    <w:basedOn w:val="Standardnpsmoodstavce"/>
    <w:uiPriority w:val="99"/>
    <w:unhideWhenUsed/>
    <w:rsid w:val="00185F94"/>
    <w:rPr>
      <w:color w:val="0000FF"/>
      <w:u w:val="single"/>
    </w:rPr>
  </w:style>
  <w:style w:type="character" w:customStyle="1" w:styleId="super">
    <w:name w:val="super"/>
    <w:basedOn w:val="Standardnpsmoodstavce"/>
    <w:rsid w:val="00185F94"/>
  </w:style>
  <w:style w:type="paragraph" w:styleId="Revize">
    <w:name w:val="Revision"/>
    <w:hidden/>
    <w:uiPriority w:val="99"/>
    <w:semiHidden/>
    <w:rsid w:val="00694D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3551</Words>
  <Characters>20955</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Antošová Šárka</dc:creator>
  <cp:lastModifiedBy>NOVACEK Vaclav</cp:lastModifiedBy>
  <cp:revision>1</cp:revision>
  <cp:lastPrinted>2021-05-26T14:11:00Z</cp:lastPrinted>
  <dcterms:created xsi:type="dcterms:W3CDTF">2021-06-02T07:16:00Z</dcterms:created>
  <dcterms:modified xsi:type="dcterms:W3CDTF">2021-06-02T18:32:00Z</dcterms:modified>
</cp:coreProperties>
</file>